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2C" w:rsidRPr="0019692C" w:rsidRDefault="001B0155" w:rsidP="0019692C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OBRAZLOŽENJE PRIJEDLOGA </w:t>
      </w:r>
      <w:r w:rsidR="0019692C">
        <w:rPr>
          <w:rFonts w:ascii="Bookman Old Style" w:eastAsia="Calibri" w:hAnsi="Bookman Old Style" w:cs="Times New Roman"/>
          <w:b/>
          <w:sz w:val="24"/>
          <w:szCs w:val="24"/>
        </w:rPr>
        <w:t>GODIŠNJ</w:t>
      </w:r>
      <w:r>
        <w:rPr>
          <w:rFonts w:ascii="Bookman Old Style" w:eastAsia="Calibri" w:hAnsi="Bookman Old Style" w:cs="Times New Roman"/>
          <w:b/>
          <w:sz w:val="24"/>
          <w:szCs w:val="24"/>
        </w:rPr>
        <w:t>EG</w:t>
      </w:r>
      <w:r w:rsidR="0019692C">
        <w:rPr>
          <w:rFonts w:ascii="Bookman Old Style" w:eastAsia="Calibri" w:hAnsi="Bookman Old Style" w:cs="Times New Roman"/>
          <w:b/>
          <w:sz w:val="24"/>
          <w:szCs w:val="24"/>
        </w:rPr>
        <w:t xml:space="preserve"> IZVJEŠTAJ</w:t>
      </w:r>
      <w:r>
        <w:rPr>
          <w:rFonts w:ascii="Bookman Old Style" w:eastAsia="Calibri" w:hAnsi="Bookman Old Style" w:cs="Times New Roman"/>
          <w:b/>
          <w:sz w:val="24"/>
          <w:szCs w:val="24"/>
        </w:rPr>
        <w:t>A</w:t>
      </w:r>
      <w:r w:rsidR="0019692C">
        <w:rPr>
          <w:rFonts w:ascii="Bookman Old Style" w:eastAsia="Calibri" w:hAnsi="Bookman Old Style" w:cs="Times New Roman"/>
          <w:b/>
          <w:sz w:val="24"/>
          <w:szCs w:val="24"/>
        </w:rPr>
        <w:t xml:space="preserve"> O IZVRŠENJU FINANCIJSKOG </w:t>
      </w:r>
      <w:r w:rsidR="006834F7">
        <w:rPr>
          <w:rFonts w:ascii="Bookman Old Style" w:eastAsia="Calibri" w:hAnsi="Bookman Old Style" w:cs="Times New Roman"/>
          <w:b/>
          <w:sz w:val="24"/>
          <w:szCs w:val="24"/>
        </w:rPr>
        <w:t>PLANA</w:t>
      </w:r>
      <w:r w:rsidR="0019692C">
        <w:rPr>
          <w:rFonts w:ascii="Bookman Old Style" w:eastAsia="Calibri" w:hAnsi="Bookman Old Style" w:cs="Times New Roman"/>
          <w:b/>
          <w:sz w:val="24"/>
          <w:szCs w:val="24"/>
        </w:rPr>
        <w:t xml:space="preserve"> OŠ </w:t>
      </w:r>
      <w:r w:rsidR="0051565A">
        <w:rPr>
          <w:rFonts w:ascii="Bookman Old Style" w:eastAsia="Calibri" w:hAnsi="Bookman Old Style" w:cs="Times New Roman"/>
          <w:b/>
          <w:sz w:val="24"/>
          <w:szCs w:val="24"/>
        </w:rPr>
        <w:t>MIHAELA ŠILOBODA</w:t>
      </w:r>
      <w:r w:rsidR="0019692C">
        <w:rPr>
          <w:rFonts w:ascii="Bookman Old Style" w:eastAsia="Calibri" w:hAnsi="Bookman Old Style" w:cs="Times New Roman"/>
          <w:b/>
          <w:sz w:val="24"/>
          <w:szCs w:val="24"/>
        </w:rPr>
        <w:t xml:space="preserve"> ZA 2023.</w:t>
      </w:r>
    </w:p>
    <w:p w:rsidR="000220DD" w:rsidRDefault="000220DD" w:rsidP="00B02822">
      <w:pPr>
        <w:rPr>
          <w:rFonts w:ascii="Bookman Old Style" w:hAnsi="Bookman Old Style"/>
          <w:sz w:val="24"/>
          <w:szCs w:val="24"/>
        </w:rPr>
      </w:pPr>
    </w:p>
    <w:p w:rsidR="000220DD" w:rsidRPr="000220DD" w:rsidRDefault="000220DD" w:rsidP="00B02822">
      <w:pPr>
        <w:rPr>
          <w:rFonts w:ascii="Bookman Old Style" w:hAnsi="Bookman Old Style"/>
          <w:sz w:val="24"/>
          <w:szCs w:val="24"/>
          <w:u w:val="single"/>
        </w:rPr>
      </w:pPr>
      <w:r w:rsidRPr="000220DD">
        <w:rPr>
          <w:rFonts w:ascii="Bookman Old Style" w:hAnsi="Bookman Old Style"/>
          <w:sz w:val="24"/>
          <w:szCs w:val="24"/>
          <w:u w:val="single"/>
        </w:rPr>
        <w:t>UVOD</w:t>
      </w:r>
    </w:p>
    <w:p w:rsidR="000220DD" w:rsidRDefault="000220DD" w:rsidP="00B028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Temeljem Zakona o proračunu („Narodne novine“ br. 144/2021- čl. 81 do 86.) i Pravilnika o polugodišnjem i godišnjem izvještaju o izvršenju proračuna („Narodne novine 85/2023 , čl. 30</w:t>
      </w:r>
      <w:r w:rsidR="00975632">
        <w:rPr>
          <w:rFonts w:ascii="Bookman Old Style" w:hAnsi="Bookman Old Style"/>
          <w:sz w:val="24"/>
          <w:szCs w:val="24"/>
        </w:rPr>
        <w:t xml:space="preserve">. do </w:t>
      </w:r>
      <w:r>
        <w:rPr>
          <w:rFonts w:ascii="Bookman Old Style" w:hAnsi="Bookman Old Style"/>
          <w:sz w:val="24"/>
          <w:szCs w:val="24"/>
        </w:rPr>
        <w:t>52</w:t>
      </w:r>
      <w:r w:rsidR="0097563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) Osnovna </w:t>
      </w:r>
      <w:r w:rsidR="00975632">
        <w:rPr>
          <w:rFonts w:ascii="Bookman Old Style" w:hAnsi="Bookman Old Style"/>
          <w:sz w:val="24"/>
          <w:szCs w:val="24"/>
        </w:rPr>
        <w:t>škola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1565A">
        <w:rPr>
          <w:rFonts w:ascii="Bookman Old Style" w:hAnsi="Bookman Old Style"/>
          <w:sz w:val="24"/>
          <w:szCs w:val="24"/>
        </w:rPr>
        <w:t xml:space="preserve">Mihaela </w:t>
      </w:r>
      <w:proofErr w:type="spellStart"/>
      <w:r w:rsidR="0051565A">
        <w:rPr>
          <w:rFonts w:ascii="Bookman Old Style" w:hAnsi="Bookman Old Style"/>
          <w:sz w:val="24"/>
          <w:szCs w:val="24"/>
        </w:rPr>
        <w:t>Šiloboda</w:t>
      </w:r>
      <w:proofErr w:type="spellEnd"/>
      <w:r>
        <w:rPr>
          <w:rFonts w:ascii="Bookman Old Style" w:hAnsi="Bookman Old Style"/>
          <w:sz w:val="24"/>
          <w:szCs w:val="24"/>
        </w:rPr>
        <w:t xml:space="preserve"> podnosi Školskom odboru na usvajanje Prijedlog Godišnjeg izvještaja o izvršenju financijskog plana za 2023. godinu koji sadrži Opći</w:t>
      </w:r>
      <w:r w:rsidR="00975632">
        <w:rPr>
          <w:rFonts w:ascii="Bookman Old Style" w:hAnsi="Bookman Old Style"/>
          <w:sz w:val="24"/>
          <w:szCs w:val="24"/>
        </w:rPr>
        <w:t xml:space="preserve"> i </w:t>
      </w:r>
      <w:r>
        <w:rPr>
          <w:rFonts w:ascii="Bookman Old Style" w:hAnsi="Bookman Old Style"/>
          <w:sz w:val="24"/>
          <w:szCs w:val="24"/>
        </w:rPr>
        <w:t>Posebni dio</w:t>
      </w:r>
      <w:r w:rsidR="00975632">
        <w:rPr>
          <w:rFonts w:ascii="Bookman Old Style" w:hAnsi="Bookman Old Style"/>
          <w:sz w:val="24"/>
          <w:szCs w:val="24"/>
        </w:rPr>
        <w:t>, Obrazloženje općeg i posebnog dijela, te posebne izvještaje.</w:t>
      </w:r>
    </w:p>
    <w:p w:rsidR="000220DD" w:rsidRDefault="000220DD" w:rsidP="00B02822">
      <w:pPr>
        <w:rPr>
          <w:rFonts w:ascii="Bookman Old Style" w:hAnsi="Bookman Old Style"/>
          <w:sz w:val="24"/>
          <w:szCs w:val="24"/>
        </w:rPr>
      </w:pPr>
      <w:r w:rsidRPr="000220DD">
        <w:rPr>
          <w:rFonts w:ascii="Bookman Old Style" w:hAnsi="Bookman Old Style"/>
          <w:sz w:val="24"/>
          <w:szCs w:val="24"/>
          <w:u w:val="single"/>
        </w:rPr>
        <w:t>Opći dio</w:t>
      </w:r>
      <w:r>
        <w:rPr>
          <w:rFonts w:ascii="Bookman Old Style" w:hAnsi="Bookman Old Style"/>
          <w:sz w:val="24"/>
          <w:szCs w:val="24"/>
        </w:rPr>
        <w:t xml:space="preserve"> sastoji se od :</w:t>
      </w:r>
    </w:p>
    <w:p w:rsidR="000220DD" w:rsidRDefault="000220DD" w:rsidP="000220DD">
      <w:pPr>
        <w:pStyle w:val="Odlomakpopisa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Sažetka Računa prihoda i rashoda i Računa financiranja</w:t>
      </w:r>
    </w:p>
    <w:p w:rsidR="000220DD" w:rsidRDefault="000220DD" w:rsidP="000220DD">
      <w:pPr>
        <w:pStyle w:val="Odlomakpopisa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Prihoda i rashoda po ekonomskoj klasifikaciji</w:t>
      </w:r>
    </w:p>
    <w:p w:rsidR="000220DD" w:rsidRDefault="000220DD" w:rsidP="000220DD">
      <w:pPr>
        <w:pStyle w:val="Odlomakpopisa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Prihoda i rashoda po izvorima</w:t>
      </w:r>
    </w:p>
    <w:p w:rsidR="000220DD" w:rsidRDefault="000220DD" w:rsidP="000220DD">
      <w:pPr>
        <w:rPr>
          <w:rFonts w:ascii="Bookman Old Style" w:hAnsi="Bookman Old Style"/>
          <w:sz w:val="24"/>
          <w:szCs w:val="24"/>
        </w:rPr>
      </w:pPr>
      <w:r w:rsidRPr="000220DD">
        <w:rPr>
          <w:rFonts w:ascii="Bookman Old Style" w:hAnsi="Bookman Old Style"/>
          <w:sz w:val="24"/>
          <w:szCs w:val="24"/>
          <w:u w:val="single"/>
        </w:rPr>
        <w:t>Posebni dio</w:t>
      </w:r>
      <w:r>
        <w:rPr>
          <w:rFonts w:ascii="Bookman Old Style" w:hAnsi="Bookman Old Style"/>
          <w:sz w:val="24"/>
          <w:szCs w:val="24"/>
        </w:rPr>
        <w:t xml:space="preserve"> sastoji se od:</w:t>
      </w:r>
    </w:p>
    <w:p w:rsidR="00975632" w:rsidRDefault="000220DD" w:rsidP="00975632">
      <w:pPr>
        <w:pStyle w:val="Odlomakpopisa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Rashoda po programskoj</w:t>
      </w:r>
      <w:r w:rsidR="00975632">
        <w:rPr>
          <w:rFonts w:ascii="Bookman Old Style" w:hAnsi="Bookman Old Style"/>
          <w:sz w:val="24"/>
          <w:szCs w:val="24"/>
        </w:rPr>
        <w:t>, funkcijskoj i ekonomskoj klasifikaciji sa izvorima</w:t>
      </w:r>
    </w:p>
    <w:p w:rsidR="00975632" w:rsidRDefault="00975632" w:rsidP="00975632">
      <w:pPr>
        <w:rPr>
          <w:rFonts w:ascii="Bookman Old Style" w:hAnsi="Bookman Old Style"/>
          <w:sz w:val="24"/>
          <w:szCs w:val="24"/>
        </w:rPr>
      </w:pPr>
      <w:r w:rsidRPr="00975632">
        <w:rPr>
          <w:rFonts w:ascii="Bookman Old Style" w:hAnsi="Bookman Old Style"/>
          <w:sz w:val="24"/>
          <w:szCs w:val="24"/>
          <w:u w:val="single"/>
        </w:rPr>
        <w:t>Posebni izvještaj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sastoje se od:</w:t>
      </w:r>
    </w:p>
    <w:p w:rsidR="00975632" w:rsidRDefault="00975632" w:rsidP="00975632">
      <w:pPr>
        <w:pStyle w:val="Odlomakpopisa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Izvještaja o zaduživanju na domaćem i stranom tržištu novca i kapitala</w:t>
      </w:r>
    </w:p>
    <w:p w:rsidR="00975632" w:rsidRDefault="00975632" w:rsidP="00975632">
      <w:pPr>
        <w:pStyle w:val="Odlomakpopisa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Izvještaj o korištenju sredstava fondova Europske unije</w:t>
      </w:r>
    </w:p>
    <w:p w:rsidR="00975632" w:rsidRDefault="00975632" w:rsidP="00975632">
      <w:pPr>
        <w:pStyle w:val="Odlomakpopisa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Izvještaj o danim zajmovima i potraživanjima po danim zajmovima</w:t>
      </w:r>
    </w:p>
    <w:p w:rsidR="00975632" w:rsidRDefault="00975632" w:rsidP="00975632">
      <w:pPr>
        <w:pStyle w:val="Odlomakpopisa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Izvještaj o stanju potraživanja dospjelih obveza te o stanju potencijalnih obveza po osnovi sudskih sporova</w:t>
      </w:r>
    </w:p>
    <w:p w:rsidR="00975632" w:rsidRPr="00975632" w:rsidRDefault="00975632" w:rsidP="00975632">
      <w:pPr>
        <w:pStyle w:val="Odlomakpopisa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Izvještaj o danim jamstvima i plaćanjima po protestiranim jamstvima</w:t>
      </w:r>
    </w:p>
    <w:p w:rsidR="000220DD" w:rsidRPr="000220DD" w:rsidRDefault="000220DD" w:rsidP="000220DD">
      <w:pPr>
        <w:rPr>
          <w:rFonts w:ascii="Bookman Old Style" w:hAnsi="Bookman Old Style"/>
          <w:sz w:val="24"/>
          <w:szCs w:val="24"/>
        </w:rPr>
      </w:pPr>
    </w:p>
    <w:p w:rsidR="000220DD" w:rsidRDefault="000220DD" w:rsidP="002E1753">
      <w:pPr>
        <w:pStyle w:val="Default"/>
        <w:jc w:val="center"/>
        <w:rPr>
          <w:rFonts w:ascii="Bookman Old Style" w:hAnsi="Bookman Old Style"/>
          <w:b/>
          <w:bCs/>
        </w:rPr>
      </w:pPr>
    </w:p>
    <w:p w:rsidR="002E1753" w:rsidRPr="002E1753" w:rsidRDefault="002E1753" w:rsidP="00347942">
      <w:pPr>
        <w:pStyle w:val="Default"/>
        <w:numPr>
          <w:ilvl w:val="0"/>
          <w:numId w:val="20"/>
        </w:numPr>
        <w:jc w:val="center"/>
        <w:rPr>
          <w:rFonts w:ascii="Bookman Old Style" w:hAnsi="Bookman Old Style"/>
        </w:rPr>
      </w:pPr>
      <w:r w:rsidRPr="002E1753">
        <w:rPr>
          <w:rFonts w:ascii="Bookman Old Style" w:hAnsi="Bookman Old Style"/>
          <w:b/>
          <w:bCs/>
        </w:rPr>
        <w:t xml:space="preserve">OBRAZLOŽENJE OPĆEG DIJELA </w:t>
      </w:r>
      <w:r w:rsidR="00B02822">
        <w:rPr>
          <w:rFonts w:ascii="Bookman Old Style" w:hAnsi="Bookman Old Style"/>
          <w:b/>
          <w:bCs/>
        </w:rPr>
        <w:t xml:space="preserve">GODIŠNJEG IZVJEŠTAJA </w:t>
      </w:r>
      <w:r w:rsidR="000B685D">
        <w:rPr>
          <w:rFonts w:ascii="Bookman Old Style" w:hAnsi="Bookman Old Style"/>
          <w:b/>
          <w:bCs/>
        </w:rPr>
        <w:t>O</w:t>
      </w:r>
      <w:r w:rsidR="005C7B0A">
        <w:rPr>
          <w:rFonts w:ascii="Bookman Old Style" w:hAnsi="Bookman Old Style"/>
          <w:b/>
          <w:bCs/>
        </w:rPr>
        <w:t xml:space="preserve"> </w:t>
      </w:r>
      <w:r w:rsidR="00B02822">
        <w:rPr>
          <w:rFonts w:ascii="Bookman Old Style" w:hAnsi="Bookman Old Style"/>
          <w:b/>
          <w:bCs/>
        </w:rPr>
        <w:t>IZVRŠENJU FINANCIJSKOG PLANA</w:t>
      </w:r>
    </w:p>
    <w:p w:rsidR="002E1753" w:rsidRPr="002E1753" w:rsidRDefault="002E1753" w:rsidP="00B21E1D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11539" w:rsidRDefault="008915E0" w:rsidP="0091153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U Općem dijelu Prijedloga godišnjeg izvještaja o izvršenju Financijskog plana za 2023. godinu</w:t>
      </w:r>
      <w:r w:rsidR="00C810A3">
        <w:rPr>
          <w:rFonts w:ascii="Bookman Old Style" w:hAnsi="Bookman Old Style"/>
          <w:color w:val="000000" w:themeColor="text1"/>
          <w:sz w:val="24"/>
          <w:szCs w:val="24"/>
        </w:rPr>
        <w:t xml:space="preserve"> iskazani  su podaci o planiranim prihodima i rashodima 2023. godine u Izvornom/ Tekućem planu, podaci o ostvarenim prihodima i rashodima za razdoblje od 01.01.2023. do 31.12.2022., te podaci o ostvarenim prihodima i rashodima za razdoblje 01.01. 2023. do 31.12.2023. godine. </w:t>
      </w:r>
    </w:p>
    <w:p w:rsidR="00C810A3" w:rsidRDefault="00C810A3" w:rsidP="0091153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Izvještajem o izvršenju prati se jesu li </w:t>
      </w:r>
      <w:r w:rsidR="00203A39">
        <w:rPr>
          <w:rFonts w:ascii="Bookman Old Style" w:hAnsi="Bookman Old Style"/>
          <w:color w:val="000000" w:themeColor="text1"/>
          <w:sz w:val="24"/>
          <w:szCs w:val="24"/>
        </w:rPr>
        <w:t>ostvareni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planirani iznosi prihoda i rashoda</w:t>
      </w:r>
      <w:r w:rsidR="00203A39">
        <w:rPr>
          <w:rFonts w:ascii="Bookman Old Style" w:hAnsi="Bookman Old Style"/>
          <w:color w:val="000000" w:themeColor="text1"/>
          <w:sz w:val="24"/>
          <w:szCs w:val="24"/>
        </w:rPr>
        <w:t>, te se uspoređuje ostvarenje tekuće sa ostvarenjem prethodne godine.</w:t>
      </w:r>
    </w:p>
    <w:p w:rsidR="00347942" w:rsidRDefault="00347942" w:rsidP="0091153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203A39" w:rsidRDefault="00203A39" w:rsidP="0091153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975E0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PREGLED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OSTVARENJA</w:t>
      </w:r>
      <w:r w:rsidRPr="00975E0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UKUPNIH PRIHODA I RASHODA I REZULTATA POSLOVANJA</w:t>
      </w:r>
    </w:p>
    <w:p w:rsidR="00203A39" w:rsidRPr="00203A39" w:rsidRDefault="00203A39" w:rsidP="00203A3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03A39">
        <w:rPr>
          <w:rFonts w:ascii="Bookman Old Style" w:hAnsi="Bookman Old Style" w:cs="Times New Roman"/>
          <w:sz w:val="24"/>
          <w:szCs w:val="24"/>
        </w:rPr>
        <w:t xml:space="preserve">U Sažetku Općeg  dijela ukupno ostvareni prihodi Škole u razdoblju od 01.01.-31.12.2023. godine iznose 962.381,05 </w:t>
      </w:r>
      <w:proofErr w:type="spellStart"/>
      <w:r w:rsidRPr="00203A39">
        <w:rPr>
          <w:rFonts w:ascii="Bookman Old Style" w:hAnsi="Bookman Old Style" w:cs="Times New Roman"/>
          <w:sz w:val="24"/>
          <w:szCs w:val="24"/>
        </w:rPr>
        <w:t>eur</w:t>
      </w:r>
      <w:proofErr w:type="spellEnd"/>
      <w:r w:rsidRPr="00203A39">
        <w:rPr>
          <w:rFonts w:ascii="Bookman Old Style" w:hAnsi="Bookman Old Style" w:cs="Times New Roman"/>
          <w:sz w:val="24"/>
          <w:szCs w:val="24"/>
        </w:rPr>
        <w:t xml:space="preserve">, a ukupno ostvareni rashodi iznose 956.440,62 </w:t>
      </w:r>
      <w:proofErr w:type="spellStart"/>
      <w:r w:rsidRPr="00203A39">
        <w:rPr>
          <w:rFonts w:ascii="Bookman Old Style" w:hAnsi="Bookman Old Style" w:cs="Times New Roman"/>
          <w:sz w:val="24"/>
          <w:szCs w:val="24"/>
        </w:rPr>
        <w:t>eur</w:t>
      </w:r>
      <w:proofErr w:type="spellEnd"/>
      <w:r w:rsidRPr="00203A39">
        <w:rPr>
          <w:rFonts w:ascii="Bookman Old Style" w:hAnsi="Bookman Old Style" w:cs="Times New Roman"/>
          <w:sz w:val="24"/>
          <w:szCs w:val="24"/>
        </w:rPr>
        <w:t xml:space="preserve"> čime je ostvaren višak prihoda u iznosu od  5.940,43 </w:t>
      </w:r>
      <w:proofErr w:type="spellStart"/>
      <w:r w:rsidRPr="00203A39">
        <w:rPr>
          <w:rFonts w:ascii="Bookman Old Style" w:hAnsi="Bookman Old Style" w:cs="Times New Roman"/>
          <w:sz w:val="24"/>
          <w:szCs w:val="24"/>
        </w:rPr>
        <w:t>eur</w:t>
      </w:r>
      <w:proofErr w:type="spellEnd"/>
      <w:r w:rsidRPr="00203A39">
        <w:rPr>
          <w:rFonts w:ascii="Bookman Old Style" w:hAnsi="Bookman Old Style" w:cs="Times New Roman"/>
          <w:sz w:val="24"/>
          <w:szCs w:val="24"/>
        </w:rPr>
        <w:t>.</w:t>
      </w:r>
    </w:p>
    <w:p w:rsidR="00203A39" w:rsidRPr="00203A39" w:rsidRDefault="00071A72" w:rsidP="00203A39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Manjak</w:t>
      </w:r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 prihoda i primitaka prethodn</w:t>
      </w:r>
      <w:r w:rsidR="00FA52FC">
        <w:rPr>
          <w:rFonts w:ascii="Bookman Old Style" w:hAnsi="Bookman Old Style" w:cs="Times New Roman"/>
          <w:sz w:val="24"/>
          <w:szCs w:val="24"/>
        </w:rPr>
        <w:t>e</w:t>
      </w:r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 godin</w:t>
      </w:r>
      <w:r w:rsidR="00FA52FC">
        <w:rPr>
          <w:rFonts w:ascii="Bookman Old Style" w:hAnsi="Bookman Old Style" w:cs="Times New Roman"/>
          <w:sz w:val="24"/>
          <w:szCs w:val="24"/>
        </w:rPr>
        <w:t>e</w:t>
      </w:r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 iznosi  </w:t>
      </w:r>
      <w:r w:rsidR="00FA52FC">
        <w:rPr>
          <w:rFonts w:ascii="Bookman Old Style" w:hAnsi="Bookman Old Style" w:cs="Times New Roman"/>
          <w:sz w:val="24"/>
          <w:szCs w:val="24"/>
        </w:rPr>
        <w:t>1.109,74</w:t>
      </w:r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03A39" w:rsidRPr="00203A39">
        <w:rPr>
          <w:rFonts w:ascii="Bookman Old Style" w:hAnsi="Bookman Old Style" w:cs="Times New Roman"/>
          <w:sz w:val="24"/>
          <w:szCs w:val="24"/>
        </w:rPr>
        <w:t>eur</w:t>
      </w:r>
      <w:proofErr w:type="spellEnd"/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 te nakon ostvarenog </w:t>
      </w:r>
      <w:r w:rsidR="00FA52FC">
        <w:rPr>
          <w:rFonts w:ascii="Bookman Old Style" w:hAnsi="Bookman Old Style" w:cs="Times New Roman"/>
          <w:sz w:val="24"/>
          <w:szCs w:val="24"/>
        </w:rPr>
        <w:t>viška</w:t>
      </w:r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, višak prihoda u slijedećem razdoblju raspoloživ je u iznosu od </w:t>
      </w:r>
      <w:r w:rsidR="00FA52FC">
        <w:rPr>
          <w:rFonts w:ascii="Bookman Old Style" w:hAnsi="Bookman Old Style" w:cs="Times New Roman"/>
          <w:sz w:val="24"/>
          <w:szCs w:val="24"/>
        </w:rPr>
        <w:t>4.830,70</w:t>
      </w:r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03A39" w:rsidRPr="00203A39">
        <w:rPr>
          <w:rFonts w:ascii="Bookman Old Style" w:hAnsi="Bookman Old Style" w:cs="Times New Roman"/>
          <w:sz w:val="24"/>
          <w:szCs w:val="24"/>
        </w:rPr>
        <w:t>eur</w:t>
      </w:r>
      <w:proofErr w:type="spellEnd"/>
      <w:r w:rsidR="00203A39" w:rsidRPr="00203A39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911539" w:rsidRDefault="000B549C" w:rsidP="00975E07">
      <w:pPr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1</w:t>
      </w:r>
      <w:r w:rsidR="00975E07">
        <w:rPr>
          <w:rFonts w:ascii="Bookman Old Style" w:hAnsi="Bookman Old Style"/>
          <w:b/>
          <w:i/>
          <w:color w:val="000000" w:themeColor="text1"/>
          <w:sz w:val="24"/>
          <w:szCs w:val="24"/>
        </w:rPr>
        <w:t>.</w:t>
      </w:r>
      <w:r w:rsidR="00CC208F">
        <w:rPr>
          <w:rFonts w:ascii="Bookman Old Style" w:hAnsi="Bookman Old Style"/>
          <w:b/>
          <w:i/>
          <w:color w:val="000000" w:themeColor="text1"/>
          <w:sz w:val="24"/>
          <w:szCs w:val="24"/>
        </w:rPr>
        <w:t>1.</w:t>
      </w:r>
      <w:r w:rsidR="00911539" w:rsidRPr="00975E0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Prihodi </w:t>
      </w:r>
    </w:p>
    <w:p w:rsidR="00801EF7" w:rsidRPr="005C67EE" w:rsidRDefault="00801EF7" w:rsidP="00801EF7">
      <w:pPr>
        <w:spacing w:after="0"/>
        <w:rPr>
          <w:rFonts w:ascii="Bookman Old Style" w:hAnsi="Bookman Old Style" w:cs="Arial"/>
          <w:color w:val="FF0000"/>
          <w:sz w:val="24"/>
          <w:szCs w:val="24"/>
        </w:rPr>
      </w:pPr>
      <w:r w:rsidRPr="005C67EE">
        <w:rPr>
          <w:rFonts w:ascii="Bookman Old Style" w:hAnsi="Bookman Old Style" w:cs="Arial"/>
          <w:sz w:val="24"/>
          <w:szCs w:val="24"/>
        </w:rPr>
        <w:t xml:space="preserve">Financijskim planom OŠ </w:t>
      </w:r>
      <w:r w:rsidR="0051565A">
        <w:rPr>
          <w:rFonts w:ascii="Bookman Old Style" w:hAnsi="Bookman Old Style" w:cs="Arial"/>
          <w:sz w:val="24"/>
          <w:szCs w:val="24"/>
        </w:rPr>
        <w:t xml:space="preserve">Mihaela </w:t>
      </w:r>
      <w:proofErr w:type="spellStart"/>
      <w:r w:rsidR="0051565A">
        <w:rPr>
          <w:rFonts w:ascii="Bookman Old Style" w:hAnsi="Bookman Old Style" w:cs="Arial"/>
          <w:sz w:val="24"/>
          <w:szCs w:val="24"/>
        </w:rPr>
        <w:t>Šiloboda</w:t>
      </w:r>
      <w:proofErr w:type="spellEnd"/>
      <w:r w:rsidRPr="005C67EE">
        <w:rPr>
          <w:rFonts w:ascii="Bookman Old Style" w:hAnsi="Bookman Old Style" w:cs="Arial"/>
          <w:sz w:val="24"/>
          <w:szCs w:val="24"/>
        </w:rPr>
        <w:t xml:space="preserve"> u 2023. godini planirani su prihodi u iznosu od </w:t>
      </w:r>
      <w:r w:rsidR="00696815">
        <w:rPr>
          <w:rFonts w:ascii="Bookman Old Style" w:hAnsi="Bookman Old Style" w:cs="Arial"/>
          <w:sz w:val="24"/>
          <w:szCs w:val="24"/>
        </w:rPr>
        <w:t>1.645.982</w:t>
      </w:r>
      <w:r w:rsidRPr="005C67EE">
        <w:rPr>
          <w:rFonts w:ascii="Bookman Old Style" w:hAnsi="Bookman Old Style" w:cs="Arial"/>
          <w:sz w:val="24"/>
          <w:szCs w:val="24"/>
        </w:rPr>
        <w:t xml:space="preserve"> eura. Prihodi Škole u periodu od 1.1.2023. </w:t>
      </w:r>
      <w:r w:rsidR="005C67EE" w:rsidRPr="005C67EE">
        <w:rPr>
          <w:rFonts w:ascii="Bookman Old Style" w:hAnsi="Bookman Old Style" w:cs="Arial"/>
          <w:sz w:val="24"/>
          <w:szCs w:val="24"/>
        </w:rPr>
        <w:t xml:space="preserve">do </w:t>
      </w:r>
      <w:r w:rsidRPr="005C67EE">
        <w:rPr>
          <w:rFonts w:ascii="Bookman Old Style" w:hAnsi="Bookman Old Style" w:cs="Arial"/>
          <w:sz w:val="24"/>
          <w:szCs w:val="24"/>
        </w:rPr>
        <w:t xml:space="preserve">31.12.2023. godine ostvareni su u ukupnom iznosu od </w:t>
      </w:r>
      <w:r w:rsidR="00696815">
        <w:rPr>
          <w:rFonts w:ascii="Bookman Old Style" w:hAnsi="Bookman Old Style" w:cs="Arial"/>
          <w:sz w:val="24"/>
          <w:szCs w:val="24"/>
        </w:rPr>
        <w:t>1.567.665</w:t>
      </w:r>
      <w:r w:rsidR="00FD357D">
        <w:rPr>
          <w:rFonts w:ascii="Bookman Old Style" w:hAnsi="Bookman Old Style" w:cs="Arial"/>
          <w:sz w:val="24"/>
          <w:szCs w:val="24"/>
        </w:rPr>
        <w:t xml:space="preserve"> </w:t>
      </w:r>
      <w:r w:rsidRPr="008E5BD6">
        <w:rPr>
          <w:rFonts w:ascii="Bookman Old Style" w:hAnsi="Bookman Old Style" w:cs="Arial"/>
          <w:color w:val="000000" w:themeColor="text1"/>
          <w:sz w:val="24"/>
          <w:szCs w:val="24"/>
        </w:rPr>
        <w:t xml:space="preserve">eura. </w:t>
      </w:r>
      <w:r w:rsidR="002979EA" w:rsidRPr="008E5BD6">
        <w:rPr>
          <w:rFonts w:ascii="Bookman Old Style" w:hAnsi="Bookman Old Style" w:cs="Arial"/>
          <w:color w:val="000000" w:themeColor="text1"/>
          <w:sz w:val="24"/>
          <w:szCs w:val="24"/>
        </w:rPr>
        <w:t>Ostvaren</w:t>
      </w:r>
      <w:r w:rsidR="008E5BD6" w:rsidRPr="008E5BD6">
        <w:rPr>
          <w:rFonts w:ascii="Bookman Old Style" w:hAnsi="Bookman Old Style" w:cs="Arial"/>
          <w:color w:val="000000" w:themeColor="text1"/>
          <w:sz w:val="24"/>
          <w:szCs w:val="24"/>
        </w:rPr>
        <w:t>i</w:t>
      </w:r>
      <w:r w:rsidR="002979EA" w:rsidRPr="008E5BD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su  </w:t>
      </w:r>
      <w:r w:rsidRPr="008E5BD6">
        <w:rPr>
          <w:rFonts w:ascii="Bookman Old Style" w:hAnsi="Bookman Old Style" w:cs="Arial"/>
          <w:color w:val="000000" w:themeColor="text1"/>
          <w:sz w:val="24"/>
          <w:szCs w:val="24"/>
        </w:rPr>
        <w:t xml:space="preserve">iz državnog proračuna, proračuna </w:t>
      </w:r>
      <w:r w:rsidR="002979EA" w:rsidRPr="008E5BD6">
        <w:rPr>
          <w:rFonts w:ascii="Bookman Old Style" w:hAnsi="Bookman Old Style" w:cs="Arial"/>
          <w:color w:val="000000" w:themeColor="text1"/>
          <w:sz w:val="24"/>
          <w:szCs w:val="24"/>
        </w:rPr>
        <w:t>grada Samobora (osnivača)</w:t>
      </w:r>
      <w:r w:rsidRPr="008E5BD6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uplate roditelja za terenske nastave, izlete i </w:t>
      </w:r>
      <w:r w:rsidR="00950A7A">
        <w:rPr>
          <w:rFonts w:ascii="Bookman Old Style" w:hAnsi="Bookman Old Style" w:cs="Arial"/>
          <w:color w:val="000000" w:themeColor="text1"/>
          <w:sz w:val="24"/>
          <w:szCs w:val="24"/>
        </w:rPr>
        <w:t>produženi boravak</w:t>
      </w:r>
      <w:r w:rsidRPr="008E5BD6">
        <w:rPr>
          <w:rFonts w:ascii="Bookman Old Style" w:hAnsi="Bookman Old Style" w:cs="Arial"/>
          <w:color w:val="000000" w:themeColor="text1"/>
          <w:sz w:val="24"/>
          <w:szCs w:val="24"/>
        </w:rPr>
        <w:t>, najma</w:t>
      </w:r>
      <w:r w:rsidR="002979EA" w:rsidRPr="008E5BD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950A7A">
        <w:rPr>
          <w:rFonts w:ascii="Bookman Old Style" w:hAnsi="Bookman Old Style" w:cs="Arial"/>
          <w:color w:val="000000" w:themeColor="text1"/>
          <w:sz w:val="24"/>
          <w:szCs w:val="24"/>
        </w:rPr>
        <w:t>dvorane</w:t>
      </w:r>
      <w:r w:rsidR="008E5BD6" w:rsidRPr="008E5BD6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8E5BD6">
        <w:rPr>
          <w:rFonts w:ascii="Bookman Old Style" w:hAnsi="Bookman Old Style" w:cs="Arial"/>
          <w:color w:val="000000" w:themeColor="text1"/>
          <w:sz w:val="24"/>
          <w:szCs w:val="24"/>
        </w:rPr>
        <w:t>te donacija.</w:t>
      </w:r>
    </w:p>
    <w:p w:rsidR="00801EF7" w:rsidRPr="006E51F1" w:rsidRDefault="00801EF7" w:rsidP="00975E07">
      <w:pPr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911539" w:rsidRPr="00796B5B" w:rsidRDefault="001C4264" w:rsidP="006A21BF">
      <w:pPr>
        <w:pStyle w:val="Odlomakpopisa"/>
        <w:ind w:left="1080"/>
        <w:rPr>
          <w:rFonts w:ascii="Bookman Old Style" w:hAnsi="Bookman Old Style"/>
          <w:color w:val="000000" w:themeColor="text1"/>
        </w:rPr>
      </w:pPr>
      <w:r w:rsidRPr="00796B5B">
        <w:rPr>
          <w:rFonts w:ascii="Bookman Old Style" w:hAnsi="Bookman Old Style"/>
          <w:color w:val="000000" w:themeColor="text1"/>
        </w:rPr>
        <w:t xml:space="preserve">Tablica 1. </w:t>
      </w:r>
      <w:r w:rsidR="006E51F1" w:rsidRPr="00796B5B">
        <w:rPr>
          <w:rFonts w:ascii="Bookman Old Style" w:hAnsi="Bookman Old Style"/>
        </w:rPr>
        <w:t>Pregled prihoda prema ekonomskoj klasifikaciji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877"/>
        <w:gridCol w:w="5043"/>
        <w:gridCol w:w="1300"/>
        <w:gridCol w:w="1300"/>
        <w:gridCol w:w="1420"/>
      </w:tblGrid>
      <w:tr w:rsidR="00696815" w:rsidRPr="00696815" w:rsidTr="00696815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Račun prihoda/      primitka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Ostvarenje/             izvršenje tekuće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96815" w:rsidRPr="00696815" w:rsidTr="00696815">
        <w:trPr>
          <w:trHeight w:val="2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4=4/3*100</w:t>
            </w:r>
          </w:p>
        </w:tc>
      </w:tr>
      <w:tr w:rsidR="00696815" w:rsidRPr="00696815" w:rsidTr="00696815">
        <w:trPr>
          <w:trHeight w:val="4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1.116.300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1.111.612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99,58%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Pomoći proračunskim </w:t>
            </w:r>
            <w:proofErr w:type="spellStart"/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korsnicima</w:t>
            </w:r>
            <w:proofErr w:type="spellEnd"/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iz proračuna koji im nije nadležan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1.114.705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1.111.612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99,72%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1.086.175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1.099.748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101,25%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6362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Kapitalne pomoći  proračunskim korisnicima iz proračuna koji im nije nadležan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13.270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11.864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Tekuće pomoći iz DP temeljem prijenosa EU sredstava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15.260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17,00%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17,00%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Kamate na depozite po viđenju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17,00%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78.770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50.999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64,74%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78.770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50.999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64,74%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lastRenderedPageBreak/>
              <w:t>6526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78.110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50.999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65,29%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 xml:space="preserve">prihodi </w:t>
            </w:r>
            <w:proofErr w:type="spellStart"/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snaslova</w:t>
            </w:r>
            <w:proofErr w:type="spellEnd"/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 xml:space="preserve"> osiguranja, refundacija šteta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28.874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16.323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56,53%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8.484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7.330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86,39%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8.484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7.330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86,39%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20.390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8.993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44,11%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20.125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8.993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44,69%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422.037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388.731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92,11%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422.037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388.731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92,11%</w:t>
            </w:r>
          </w:p>
        </w:tc>
      </w:tr>
      <w:tr w:rsidR="00696815" w:rsidRPr="00696815" w:rsidTr="0069681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422.037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388.731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92,11%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82.899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11.769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14,20%</w:t>
            </w:r>
          </w:p>
        </w:tc>
      </w:tr>
      <w:tr w:rsidR="00696815" w:rsidRPr="00696815" w:rsidTr="0069681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92211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Višak prihoda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82.899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11.769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14,20%</w:t>
            </w:r>
          </w:p>
        </w:tc>
      </w:tr>
      <w:tr w:rsidR="00696815" w:rsidRPr="00696815" w:rsidTr="00696815">
        <w:trPr>
          <w:trHeight w:val="3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1.645.982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1.567.665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95,24%</w:t>
            </w:r>
          </w:p>
        </w:tc>
      </w:tr>
      <w:tr w:rsidR="00696815" w:rsidRPr="00696815" w:rsidTr="00696815">
        <w:trPr>
          <w:trHeight w:val="3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6815" w:rsidRPr="00696815" w:rsidRDefault="00696815" w:rsidP="0069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 PRIHODI + VIŠAK KORIŠTEN ZA POKRIĆE RASHODA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1.728.881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1.579.434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15" w:rsidRPr="00696815" w:rsidRDefault="00696815" w:rsidP="00696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968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91,36%</w:t>
            </w:r>
          </w:p>
        </w:tc>
      </w:tr>
    </w:tbl>
    <w:p w:rsidR="00DF1737" w:rsidRDefault="00DF1737" w:rsidP="0091153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2368BF" w:rsidRDefault="00FA52FC" w:rsidP="0091153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Prihodi po ekonomskoj klasifikaciji </w:t>
      </w:r>
      <w:r w:rsidR="002368BF">
        <w:rPr>
          <w:rFonts w:ascii="Bookman Old Style" w:hAnsi="Bookman Old Style"/>
          <w:color w:val="000000" w:themeColor="text1"/>
          <w:sz w:val="24"/>
          <w:szCs w:val="24"/>
        </w:rPr>
        <w:t>dijele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se na</w:t>
      </w:r>
      <w:r w:rsidR="002368BF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DF1737" w:rsidRDefault="00FA52FC" w:rsidP="002368BF">
      <w:pPr>
        <w:pStyle w:val="Odlomakpopisa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368BF">
        <w:rPr>
          <w:rFonts w:ascii="Bookman Old Style" w:hAnsi="Bookman Old Style"/>
          <w:color w:val="000000" w:themeColor="text1"/>
          <w:sz w:val="24"/>
          <w:szCs w:val="24"/>
        </w:rPr>
        <w:t xml:space="preserve">prihode poslovanja </w:t>
      </w:r>
    </w:p>
    <w:p w:rsidR="002368BF" w:rsidRDefault="002368BF" w:rsidP="002368BF">
      <w:pPr>
        <w:pStyle w:val="Odlomakpopisa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prihode od nefinancijske imovine</w:t>
      </w:r>
    </w:p>
    <w:p w:rsidR="002368BF" w:rsidRPr="002368BF" w:rsidRDefault="002368BF" w:rsidP="002368BF">
      <w:pPr>
        <w:pStyle w:val="Odlomakpopisa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1539" w:rsidRPr="00CC208F" w:rsidRDefault="00CC208F" w:rsidP="00CC208F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1.1.1.</w:t>
      </w:r>
      <w:r w:rsidR="00911539" w:rsidRPr="00CC208F">
        <w:rPr>
          <w:rFonts w:ascii="Bookman Old Style" w:hAnsi="Bookman Old Style"/>
          <w:b/>
          <w:color w:val="000000" w:themeColor="text1"/>
          <w:sz w:val="24"/>
          <w:szCs w:val="24"/>
        </w:rPr>
        <w:t>Prihodi od poslovanja</w:t>
      </w:r>
    </w:p>
    <w:p w:rsidR="0002537C" w:rsidRPr="0002537C" w:rsidRDefault="0002537C" w:rsidP="0002537C">
      <w:pPr>
        <w:jc w:val="both"/>
        <w:rPr>
          <w:rFonts w:ascii="Bookman Old Style" w:hAnsi="Bookman Old Style"/>
          <w:sz w:val="24"/>
          <w:szCs w:val="24"/>
        </w:rPr>
      </w:pPr>
      <w:r w:rsidRPr="0002537C">
        <w:rPr>
          <w:rFonts w:ascii="Bookman Old Style" w:hAnsi="Bookman Old Style"/>
          <w:sz w:val="24"/>
          <w:szCs w:val="24"/>
        </w:rPr>
        <w:t xml:space="preserve">Prihodi poslovanja (prihodi od poreza, pomoći iz inozemstva i od subjekata unutar općeg proračuna, prihodi od imovine, prihodi od upravnih i administrativnih pristojbi, pristojbe po posebnim propisima i naknada, prihodi od pruženih usluga i prihodi od donacija te ostali prihodi) </w:t>
      </w:r>
      <w:r>
        <w:rPr>
          <w:rFonts w:ascii="Bookman Old Style" w:hAnsi="Bookman Old Style"/>
          <w:sz w:val="24"/>
          <w:szCs w:val="24"/>
        </w:rPr>
        <w:t xml:space="preserve">ostvareni su u iznosu od </w:t>
      </w:r>
      <w:r w:rsidR="00696815">
        <w:rPr>
          <w:rFonts w:ascii="Bookman Old Style" w:hAnsi="Bookman Old Style"/>
          <w:sz w:val="24"/>
          <w:szCs w:val="24"/>
        </w:rPr>
        <w:t>1.576.655</w:t>
      </w:r>
      <w:r>
        <w:rPr>
          <w:rFonts w:ascii="Bookman Old Style" w:hAnsi="Bookman Old Style"/>
          <w:sz w:val="24"/>
          <w:szCs w:val="24"/>
        </w:rPr>
        <w:t xml:space="preserve"> € ili </w:t>
      </w:r>
      <w:r w:rsidR="00696815">
        <w:rPr>
          <w:rFonts w:ascii="Bookman Old Style" w:hAnsi="Bookman Old Style"/>
          <w:sz w:val="24"/>
          <w:szCs w:val="24"/>
        </w:rPr>
        <w:t xml:space="preserve">95,24% godišnjeg plana. </w:t>
      </w:r>
      <w:r w:rsidRPr="0002537C">
        <w:rPr>
          <w:rFonts w:ascii="Bookman Old Style" w:hAnsi="Bookman Old Style"/>
          <w:sz w:val="24"/>
          <w:szCs w:val="24"/>
        </w:rPr>
        <w:t>Prihodi u razredu 6 odnose se na sljedeće skupine i izvore:</w:t>
      </w:r>
    </w:p>
    <w:p w:rsidR="00AF0C48" w:rsidRPr="0002537C" w:rsidRDefault="00CA420E" w:rsidP="0002537C">
      <w:pPr>
        <w:jc w:val="both"/>
        <w:rPr>
          <w:rFonts w:ascii="Bookman Old Style" w:hAnsi="Bookman Old Style"/>
          <w:sz w:val="24"/>
          <w:szCs w:val="24"/>
        </w:rPr>
      </w:pPr>
      <w:r w:rsidRPr="009E17A9">
        <w:rPr>
          <w:rFonts w:ascii="Bookman Old Style" w:hAnsi="Bookman Old Style"/>
          <w:i/>
          <w:sz w:val="24"/>
          <w:szCs w:val="24"/>
        </w:rPr>
        <w:t>Prihodi iz inozemstva i od subjekata unutar općeg proračuna</w:t>
      </w:r>
      <w:r w:rsidR="009E17A9">
        <w:rPr>
          <w:rFonts w:ascii="Bookman Old Style" w:hAnsi="Bookman Old Style"/>
          <w:i/>
          <w:sz w:val="24"/>
          <w:szCs w:val="24"/>
        </w:rPr>
        <w:t xml:space="preserve"> </w:t>
      </w:r>
      <w:r w:rsidR="009E17A9">
        <w:rPr>
          <w:rFonts w:ascii="Bookman Old Style" w:hAnsi="Bookman Old Style"/>
          <w:sz w:val="24"/>
          <w:szCs w:val="24"/>
        </w:rPr>
        <w:t>(skupina 63)</w:t>
      </w:r>
      <w:r w:rsidR="000B549C" w:rsidRPr="0002537C">
        <w:rPr>
          <w:rFonts w:ascii="Bookman Old Style" w:hAnsi="Bookman Old Style"/>
          <w:sz w:val="24"/>
          <w:szCs w:val="24"/>
        </w:rPr>
        <w:t xml:space="preserve"> ostvareni su u </w:t>
      </w:r>
      <w:r w:rsidRPr="0002537C">
        <w:rPr>
          <w:rFonts w:ascii="Bookman Old Style" w:hAnsi="Bookman Old Style"/>
          <w:sz w:val="24"/>
          <w:szCs w:val="24"/>
        </w:rPr>
        <w:t xml:space="preserve"> iznosu od </w:t>
      </w:r>
      <w:r w:rsidR="00696815">
        <w:rPr>
          <w:rFonts w:ascii="Bookman Old Style" w:hAnsi="Bookman Old Style"/>
          <w:sz w:val="24"/>
          <w:szCs w:val="24"/>
        </w:rPr>
        <w:t>1.111.612</w:t>
      </w:r>
      <w:r w:rsidRPr="0002537C">
        <w:rPr>
          <w:rFonts w:ascii="Bookman Old Style" w:hAnsi="Bookman Old Style"/>
          <w:sz w:val="24"/>
          <w:szCs w:val="24"/>
        </w:rPr>
        <w:t xml:space="preserve"> € </w:t>
      </w:r>
      <w:r w:rsidR="0002537C" w:rsidRPr="0002537C">
        <w:rPr>
          <w:rFonts w:ascii="Bookman Old Style" w:hAnsi="Bookman Old Style"/>
          <w:sz w:val="24"/>
          <w:szCs w:val="24"/>
        </w:rPr>
        <w:t xml:space="preserve">što čini indeks izvršenja </w:t>
      </w:r>
      <w:r w:rsidR="00696815">
        <w:rPr>
          <w:rFonts w:ascii="Bookman Old Style" w:hAnsi="Bookman Old Style"/>
          <w:sz w:val="24"/>
          <w:szCs w:val="24"/>
        </w:rPr>
        <w:t>99,58</w:t>
      </w:r>
      <w:r w:rsidR="000B549C" w:rsidRPr="0002537C">
        <w:rPr>
          <w:rFonts w:ascii="Bookman Old Style" w:hAnsi="Bookman Old Style"/>
          <w:sz w:val="24"/>
          <w:szCs w:val="24"/>
        </w:rPr>
        <w:t xml:space="preserve">% </w:t>
      </w:r>
      <w:r w:rsidR="0002537C" w:rsidRPr="0002537C">
        <w:rPr>
          <w:rFonts w:ascii="Bookman Old Style" w:hAnsi="Bookman Old Style"/>
          <w:sz w:val="24"/>
          <w:szCs w:val="24"/>
        </w:rPr>
        <w:t>u odnosu  na plan 2023</w:t>
      </w:r>
      <w:r w:rsidR="000B549C" w:rsidRPr="0002537C">
        <w:rPr>
          <w:rFonts w:ascii="Bookman Old Style" w:hAnsi="Bookman Old Style"/>
          <w:sz w:val="24"/>
          <w:szCs w:val="24"/>
        </w:rPr>
        <w:t xml:space="preserve"> plana</w:t>
      </w:r>
      <w:r w:rsidR="00696815">
        <w:rPr>
          <w:rFonts w:ascii="Bookman Old Style" w:hAnsi="Bookman Old Style"/>
          <w:sz w:val="24"/>
          <w:szCs w:val="24"/>
        </w:rPr>
        <w:t xml:space="preserve">. </w:t>
      </w:r>
      <w:r w:rsidR="000B549C" w:rsidRPr="0002537C">
        <w:rPr>
          <w:rFonts w:ascii="Bookman Old Style" w:hAnsi="Bookman Old Style"/>
          <w:sz w:val="24"/>
          <w:szCs w:val="24"/>
        </w:rPr>
        <w:t xml:space="preserve">U </w:t>
      </w:r>
      <w:r w:rsidRPr="0002537C">
        <w:rPr>
          <w:rFonts w:ascii="Bookman Old Style" w:hAnsi="Bookman Old Style"/>
          <w:sz w:val="24"/>
          <w:szCs w:val="24"/>
        </w:rPr>
        <w:t xml:space="preserve">strukturi ukupnih prihoda </w:t>
      </w:r>
      <w:r w:rsidR="00DF0200" w:rsidRPr="0002537C">
        <w:rPr>
          <w:rFonts w:ascii="Bookman Old Style" w:hAnsi="Bookman Old Style"/>
          <w:sz w:val="24"/>
          <w:szCs w:val="24"/>
        </w:rPr>
        <w:t>čine</w:t>
      </w:r>
      <w:r w:rsidRPr="0002537C">
        <w:rPr>
          <w:rFonts w:ascii="Bookman Old Style" w:hAnsi="Bookman Old Style"/>
          <w:sz w:val="24"/>
          <w:szCs w:val="24"/>
        </w:rPr>
        <w:t xml:space="preserve"> </w:t>
      </w:r>
      <w:r w:rsidR="00696815">
        <w:rPr>
          <w:rFonts w:ascii="Bookman Old Style" w:hAnsi="Bookman Old Style"/>
          <w:sz w:val="24"/>
          <w:szCs w:val="24"/>
        </w:rPr>
        <w:t>70,9</w:t>
      </w:r>
      <w:r w:rsidRPr="0002537C">
        <w:rPr>
          <w:rFonts w:ascii="Bookman Old Style" w:hAnsi="Bookman Old Style"/>
          <w:sz w:val="24"/>
          <w:szCs w:val="24"/>
        </w:rPr>
        <w:t>%. Najvećim dijelom odnose se na pomoći</w:t>
      </w:r>
      <w:r w:rsidR="00DF0200" w:rsidRPr="0002537C">
        <w:rPr>
          <w:rFonts w:ascii="Bookman Old Style" w:hAnsi="Bookman Old Style"/>
          <w:sz w:val="24"/>
          <w:szCs w:val="24"/>
        </w:rPr>
        <w:t xml:space="preserve"> proračunskim korisnicima iz proračuna koji im nije nadležan odnosno pomoći iz MZO</w:t>
      </w:r>
      <w:r w:rsidRPr="0002537C">
        <w:rPr>
          <w:rFonts w:ascii="Bookman Old Style" w:hAnsi="Bookman Old Style"/>
          <w:sz w:val="24"/>
          <w:szCs w:val="24"/>
        </w:rPr>
        <w:t xml:space="preserve"> za financiranje rashoda za zaposlene koji se isplaćuju iz državnog proračuna , naknadu za nezapošljavanje invalida, </w:t>
      </w:r>
      <w:bookmarkStart w:id="0" w:name="_Hlk136344298"/>
      <w:r w:rsidR="008405C6" w:rsidRPr="0002537C">
        <w:rPr>
          <w:rFonts w:ascii="Bookman Old Style" w:hAnsi="Bookman Old Style"/>
          <w:sz w:val="24"/>
          <w:szCs w:val="24"/>
        </w:rPr>
        <w:t>sufinanciranje nastavnih sredstava, pomagala i prehrane</w:t>
      </w:r>
      <w:r w:rsidR="00696815">
        <w:rPr>
          <w:rFonts w:ascii="Bookman Old Style" w:hAnsi="Bookman Old Style"/>
          <w:sz w:val="24"/>
          <w:szCs w:val="24"/>
        </w:rPr>
        <w:t>.</w:t>
      </w:r>
      <w:r w:rsidR="008405C6" w:rsidRPr="0002537C">
        <w:rPr>
          <w:rFonts w:ascii="Bookman Old Style" w:hAnsi="Bookman Old Style"/>
          <w:sz w:val="24"/>
          <w:szCs w:val="24"/>
        </w:rPr>
        <w:t xml:space="preserve"> </w:t>
      </w:r>
      <w:bookmarkEnd w:id="0"/>
      <w:r w:rsidRPr="0002537C">
        <w:rPr>
          <w:rFonts w:ascii="Bookman Old Style" w:hAnsi="Bookman Old Style"/>
          <w:sz w:val="24"/>
          <w:szCs w:val="24"/>
        </w:rPr>
        <w:t xml:space="preserve">Dio prihoda </w:t>
      </w:r>
      <w:r w:rsidR="00AF0C48" w:rsidRPr="0002537C">
        <w:rPr>
          <w:rFonts w:ascii="Bookman Old Style" w:hAnsi="Bookman Old Style"/>
          <w:sz w:val="24"/>
          <w:szCs w:val="24"/>
        </w:rPr>
        <w:t>odnosi se na</w:t>
      </w:r>
      <w:r w:rsidR="0003047C" w:rsidRPr="0002537C">
        <w:rPr>
          <w:rFonts w:ascii="Bookman Old Style" w:hAnsi="Bookman Old Style"/>
          <w:sz w:val="24"/>
          <w:szCs w:val="24"/>
        </w:rPr>
        <w:t xml:space="preserve"> financiranje </w:t>
      </w:r>
      <w:r w:rsidR="002368BF">
        <w:rPr>
          <w:rFonts w:ascii="Bookman Old Style" w:hAnsi="Bookman Old Style"/>
          <w:sz w:val="24"/>
          <w:szCs w:val="24"/>
        </w:rPr>
        <w:t xml:space="preserve">besplatne </w:t>
      </w:r>
      <w:r w:rsidR="0003047C" w:rsidRPr="0002537C">
        <w:rPr>
          <w:rFonts w:ascii="Bookman Old Style" w:hAnsi="Bookman Old Style"/>
          <w:sz w:val="24"/>
          <w:szCs w:val="24"/>
        </w:rPr>
        <w:t>prehrane učenika,</w:t>
      </w:r>
      <w:r w:rsidR="00AF0C48" w:rsidRPr="0002537C">
        <w:rPr>
          <w:rFonts w:ascii="Bookman Old Style" w:hAnsi="Bookman Old Style"/>
          <w:sz w:val="24"/>
          <w:szCs w:val="24"/>
        </w:rPr>
        <w:t xml:space="preserve"> </w:t>
      </w:r>
      <w:r w:rsidRPr="0002537C">
        <w:rPr>
          <w:rFonts w:ascii="Bookman Old Style" w:hAnsi="Bookman Old Style"/>
          <w:sz w:val="24"/>
          <w:szCs w:val="24"/>
        </w:rPr>
        <w:t xml:space="preserve">nabavu knjiga za knjižnicu i udžbenika za učenike. </w:t>
      </w:r>
    </w:p>
    <w:p w:rsidR="00AF0C48" w:rsidRPr="0002537C" w:rsidRDefault="00DF0200" w:rsidP="0002537C">
      <w:pPr>
        <w:jc w:val="both"/>
        <w:rPr>
          <w:rFonts w:ascii="Bookman Old Style" w:hAnsi="Bookman Old Style"/>
          <w:sz w:val="24"/>
          <w:szCs w:val="24"/>
        </w:rPr>
      </w:pPr>
      <w:r w:rsidRPr="009E17A9">
        <w:rPr>
          <w:rFonts w:ascii="Bookman Old Style" w:hAnsi="Bookman Old Style"/>
          <w:i/>
          <w:sz w:val="24"/>
          <w:szCs w:val="24"/>
        </w:rPr>
        <w:lastRenderedPageBreak/>
        <w:t>Prihodi od imovine</w:t>
      </w:r>
      <w:r w:rsidR="009E17A9">
        <w:rPr>
          <w:rFonts w:ascii="Bookman Old Style" w:hAnsi="Bookman Old Style"/>
          <w:i/>
          <w:sz w:val="24"/>
          <w:szCs w:val="24"/>
        </w:rPr>
        <w:t xml:space="preserve"> </w:t>
      </w:r>
      <w:r w:rsidR="009E17A9">
        <w:rPr>
          <w:rFonts w:ascii="Bookman Old Style" w:hAnsi="Bookman Old Style"/>
          <w:sz w:val="24"/>
          <w:szCs w:val="24"/>
        </w:rPr>
        <w:t>(skupina 64)</w:t>
      </w:r>
      <w:r w:rsidRPr="0002537C">
        <w:rPr>
          <w:rFonts w:ascii="Bookman Old Style" w:hAnsi="Bookman Old Style"/>
          <w:sz w:val="24"/>
          <w:szCs w:val="24"/>
        </w:rPr>
        <w:t xml:space="preserve"> odnose se na prihode od kamata na sredstva na žiro</w:t>
      </w:r>
      <w:r w:rsidR="00696815">
        <w:rPr>
          <w:rFonts w:ascii="Bookman Old Style" w:hAnsi="Bookman Old Style"/>
          <w:sz w:val="24"/>
          <w:szCs w:val="24"/>
        </w:rPr>
        <w:t>-</w:t>
      </w:r>
      <w:r w:rsidRPr="0002537C">
        <w:rPr>
          <w:rFonts w:ascii="Bookman Old Style" w:hAnsi="Bookman Old Style"/>
          <w:sz w:val="24"/>
          <w:szCs w:val="24"/>
        </w:rPr>
        <w:t xml:space="preserve">računu. Iznos je </w:t>
      </w:r>
      <w:r w:rsidR="00696815">
        <w:rPr>
          <w:rFonts w:ascii="Bookman Old Style" w:hAnsi="Bookman Old Style"/>
          <w:sz w:val="24"/>
          <w:szCs w:val="24"/>
        </w:rPr>
        <w:t>gotovo zanemariv</w:t>
      </w:r>
      <w:r w:rsidRPr="0002537C">
        <w:rPr>
          <w:rFonts w:ascii="Bookman Old Style" w:hAnsi="Bookman Old Style"/>
          <w:sz w:val="24"/>
          <w:szCs w:val="24"/>
        </w:rPr>
        <w:t xml:space="preserve"> pa ne utječe na udio u ukupnoj strukturi prihoda.</w:t>
      </w:r>
    </w:p>
    <w:p w:rsidR="002707BB" w:rsidRPr="00FB3D23" w:rsidRDefault="00DF0200" w:rsidP="00FB3D23">
      <w:pPr>
        <w:rPr>
          <w:rFonts w:ascii="Bookman Old Style" w:hAnsi="Bookman Old Style"/>
        </w:rPr>
      </w:pPr>
      <w:r w:rsidRPr="009E17A9">
        <w:rPr>
          <w:rFonts w:ascii="Bookman Old Style" w:hAnsi="Bookman Old Style"/>
          <w:i/>
          <w:sz w:val="24"/>
          <w:szCs w:val="24"/>
        </w:rPr>
        <w:t xml:space="preserve">Prihodi </w:t>
      </w:r>
      <w:r w:rsidR="00AC326C" w:rsidRPr="009E17A9">
        <w:rPr>
          <w:rFonts w:ascii="Bookman Old Style" w:hAnsi="Bookman Old Style"/>
          <w:i/>
          <w:sz w:val="24"/>
          <w:szCs w:val="24"/>
        </w:rPr>
        <w:t>od upravnih i administrativnih pristojbi, pristojbi po posebnim propisima</w:t>
      </w:r>
      <w:r w:rsidR="009E17A9">
        <w:rPr>
          <w:rFonts w:ascii="Bookman Old Style" w:hAnsi="Bookman Old Style"/>
          <w:sz w:val="24"/>
          <w:szCs w:val="24"/>
        </w:rPr>
        <w:t xml:space="preserve"> (skupina 65) ostvareni su u ukupnom iznosu od </w:t>
      </w:r>
      <w:r w:rsidR="00696815">
        <w:rPr>
          <w:rFonts w:ascii="Bookman Old Style" w:hAnsi="Bookman Old Style"/>
          <w:sz w:val="24"/>
          <w:szCs w:val="24"/>
        </w:rPr>
        <w:t>50.999</w:t>
      </w:r>
      <w:r w:rsidR="009E17A9">
        <w:rPr>
          <w:rFonts w:ascii="Bookman Old Style" w:hAnsi="Bookman Old Style"/>
          <w:sz w:val="24"/>
          <w:szCs w:val="24"/>
        </w:rPr>
        <w:t xml:space="preserve"> € </w:t>
      </w:r>
      <w:r w:rsidR="00DD3430">
        <w:rPr>
          <w:rFonts w:ascii="Bookman Old Style" w:hAnsi="Bookman Old Style"/>
          <w:sz w:val="24"/>
          <w:szCs w:val="24"/>
        </w:rPr>
        <w:t xml:space="preserve">odnosno </w:t>
      </w:r>
      <w:r w:rsidR="00696815">
        <w:rPr>
          <w:rFonts w:ascii="Bookman Old Style" w:hAnsi="Bookman Old Style"/>
          <w:sz w:val="24"/>
          <w:szCs w:val="24"/>
        </w:rPr>
        <w:t>64,74</w:t>
      </w:r>
      <w:r w:rsidR="00DD3430">
        <w:rPr>
          <w:rFonts w:ascii="Bookman Old Style" w:hAnsi="Bookman Old Style"/>
          <w:sz w:val="24"/>
          <w:szCs w:val="24"/>
        </w:rPr>
        <w:t>% planiranih sred</w:t>
      </w:r>
      <w:r w:rsidR="00696815">
        <w:rPr>
          <w:rFonts w:ascii="Bookman Old Style" w:hAnsi="Bookman Old Style"/>
          <w:sz w:val="24"/>
          <w:szCs w:val="24"/>
        </w:rPr>
        <w:t xml:space="preserve">stava. </w:t>
      </w:r>
      <w:r w:rsidR="00DD3430" w:rsidRPr="00DD3430">
        <w:rPr>
          <w:rFonts w:ascii="Bookman Old Style" w:hAnsi="Bookman Old Style"/>
          <w:sz w:val="24"/>
          <w:szCs w:val="24"/>
        </w:rPr>
        <w:t>N</w:t>
      </w:r>
      <w:r w:rsidR="008F0DE9" w:rsidRPr="00DD3430">
        <w:rPr>
          <w:rFonts w:ascii="Bookman Old Style" w:hAnsi="Bookman Old Style"/>
          <w:sz w:val="24"/>
          <w:szCs w:val="24"/>
        </w:rPr>
        <w:t xml:space="preserve">ajvećim dijelom </w:t>
      </w:r>
      <w:r w:rsidRPr="00DD3430">
        <w:rPr>
          <w:rFonts w:ascii="Bookman Old Style" w:hAnsi="Bookman Old Style"/>
          <w:sz w:val="24"/>
          <w:szCs w:val="24"/>
        </w:rPr>
        <w:t xml:space="preserve">odnose se na prihode dobivene od roditelja za sufinanciranje </w:t>
      </w:r>
      <w:r w:rsidR="00696815">
        <w:rPr>
          <w:rFonts w:ascii="Bookman Old Style" w:hAnsi="Bookman Old Style"/>
          <w:sz w:val="24"/>
          <w:szCs w:val="24"/>
        </w:rPr>
        <w:t>produženog boravka</w:t>
      </w:r>
      <w:r w:rsidR="008F0DE9" w:rsidRPr="00DD3430">
        <w:rPr>
          <w:rFonts w:ascii="Bookman Old Style" w:hAnsi="Bookman Old Style"/>
          <w:sz w:val="24"/>
          <w:szCs w:val="24"/>
        </w:rPr>
        <w:t xml:space="preserve">, </w:t>
      </w:r>
      <w:r w:rsidR="008405C6" w:rsidRPr="00DD3430">
        <w:rPr>
          <w:rFonts w:ascii="Bookman Old Style" w:hAnsi="Bookman Old Style"/>
          <w:sz w:val="24"/>
          <w:szCs w:val="24"/>
        </w:rPr>
        <w:t xml:space="preserve">plaćanje  časopisa, </w:t>
      </w:r>
      <w:r w:rsidR="00DD3430">
        <w:rPr>
          <w:rFonts w:ascii="Bookman Old Style" w:hAnsi="Bookman Old Style"/>
          <w:sz w:val="24"/>
          <w:szCs w:val="24"/>
        </w:rPr>
        <w:t xml:space="preserve">te </w:t>
      </w:r>
      <w:r w:rsidR="008405C6" w:rsidRPr="00DD3430">
        <w:rPr>
          <w:rFonts w:ascii="Bookman Old Style" w:hAnsi="Bookman Old Style"/>
          <w:sz w:val="24"/>
          <w:szCs w:val="24"/>
        </w:rPr>
        <w:t xml:space="preserve">prijevoza </w:t>
      </w:r>
      <w:r w:rsidR="00696815">
        <w:rPr>
          <w:rFonts w:ascii="Bookman Old Style" w:hAnsi="Bookman Old Style"/>
          <w:sz w:val="24"/>
          <w:szCs w:val="24"/>
        </w:rPr>
        <w:t xml:space="preserve">učenika </w:t>
      </w:r>
      <w:r w:rsidRPr="00DD3430">
        <w:rPr>
          <w:rFonts w:ascii="Bookman Old Style" w:hAnsi="Bookman Old Style"/>
          <w:sz w:val="24"/>
          <w:szCs w:val="24"/>
        </w:rPr>
        <w:t>za terensku nastavu.</w:t>
      </w:r>
      <w:r w:rsidR="00DD3430" w:rsidRPr="00DD3430">
        <w:rPr>
          <w:rFonts w:ascii="Bookman Old Style" w:hAnsi="Bookman Old Style"/>
          <w:sz w:val="24"/>
          <w:szCs w:val="24"/>
        </w:rPr>
        <w:t xml:space="preserve"> </w:t>
      </w:r>
      <w:r w:rsidR="00DD3430">
        <w:rPr>
          <w:rFonts w:ascii="Bookman Old Style" w:hAnsi="Bookman Old Style"/>
          <w:sz w:val="24"/>
          <w:szCs w:val="24"/>
        </w:rPr>
        <w:t>Ovo smanjenje direktna je posljedica</w:t>
      </w:r>
      <w:r w:rsidR="00DD3430" w:rsidRPr="00DD3430">
        <w:rPr>
          <w:rFonts w:ascii="Bookman Old Style" w:hAnsi="Bookman Old Style"/>
          <w:sz w:val="24"/>
          <w:szCs w:val="24"/>
        </w:rPr>
        <w:t xml:space="preserve"> Odluke Vlade RH o kriterijima i načinu financiranja odnosno sufinanciranja troškova prehrane -Ministarstvo znanosti i obrazovanja od 01.01.2023. godine podmiruje troškove financiranja (sufinanciranja) prehrane za svakog učenika škole.</w:t>
      </w:r>
      <w:r w:rsidR="00FB3D23">
        <w:rPr>
          <w:rFonts w:ascii="Bookman Old Style" w:hAnsi="Bookman Old Style"/>
        </w:rPr>
        <w:t xml:space="preserve"> </w:t>
      </w:r>
      <w:r w:rsidR="00FB3D23">
        <w:rPr>
          <w:rFonts w:ascii="Bookman Old Style" w:hAnsi="Bookman Old Style"/>
          <w:sz w:val="24"/>
          <w:szCs w:val="24"/>
        </w:rPr>
        <w:t>U</w:t>
      </w:r>
      <w:r w:rsidR="008F0DE9" w:rsidRPr="008405C6">
        <w:rPr>
          <w:rFonts w:ascii="Bookman Old Style" w:hAnsi="Bookman Old Style"/>
          <w:sz w:val="24"/>
          <w:szCs w:val="24"/>
        </w:rPr>
        <w:t xml:space="preserve"> strukturi ukupnih prihoda čine </w:t>
      </w:r>
      <w:r w:rsidR="00696815">
        <w:rPr>
          <w:rFonts w:ascii="Bookman Old Style" w:hAnsi="Bookman Old Style"/>
          <w:sz w:val="24"/>
          <w:szCs w:val="24"/>
        </w:rPr>
        <w:t>3,30</w:t>
      </w:r>
      <w:r w:rsidR="008F0DE9" w:rsidRPr="008405C6">
        <w:rPr>
          <w:rFonts w:ascii="Bookman Old Style" w:hAnsi="Bookman Old Style"/>
          <w:sz w:val="24"/>
          <w:szCs w:val="24"/>
        </w:rPr>
        <w:t xml:space="preserve">%.  </w:t>
      </w:r>
    </w:p>
    <w:p w:rsidR="00FB3D23" w:rsidRDefault="008F0DE9" w:rsidP="00B21E1D">
      <w:pPr>
        <w:jc w:val="both"/>
        <w:rPr>
          <w:rFonts w:ascii="Bookman Old Style" w:hAnsi="Bookman Old Style"/>
          <w:sz w:val="24"/>
          <w:szCs w:val="24"/>
        </w:rPr>
      </w:pPr>
      <w:r w:rsidRPr="00FB3D23">
        <w:rPr>
          <w:rFonts w:ascii="Bookman Old Style" w:hAnsi="Bookman Old Style"/>
          <w:i/>
          <w:sz w:val="24"/>
          <w:szCs w:val="24"/>
        </w:rPr>
        <w:t>Prihodi od prodaje proizvoda i robe te pruženih usluga i prihodi od donacija</w:t>
      </w:r>
      <w:r w:rsidR="00FB3D23">
        <w:rPr>
          <w:rFonts w:ascii="Bookman Old Style" w:hAnsi="Bookman Old Style"/>
          <w:sz w:val="24"/>
          <w:szCs w:val="24"/>
        </w:rPr>
        <w:t xml:space="preserve"> (skupina 66) ostvarenu su u iznosu od </w:t>
      </w:r>
      <w:r w:rsidR="00696815">
        <w:rPr>
          <w:rFonts w:ascii="Bookman Old Style" w:hAnsi="Bookman Old Style"/>
          <w:sz w:val="24"/>
          <w:szCs w:val="24"/>
        </w:rPr>
        <w:t xml:space="preserve">16.323 </w:t>
      </w:r>
      <w:r w:rsidR="00FB3D23">
        <w:rPr>
          <w:rFonts w:ascii="Bookman Old Style" w:hAnsi="Bookman Old Style"/>
          <w:sz w:val="24"/>
          <w:szCs w:val="24"/>
        </w:rPr>
        <w:t xml:space="preserve">€ ili </w:t>
      </w:r>
      <w:r w:rsidR="00696815">
        <w:rPr>
          <w:rFonts w:ascii="Bookman Old Style" w:hAnsi="Bookman Old Style"/>
          <w:sz w:val="24"/>
          <w:szCs w:val="24"/>
        </w:rPr>
        <w:t>56,53</w:t>
      </w:r>
      <w:r w:rsidR="00FB3D23">
        <w:rPr>
          <w:rFonts w:ascii="Bookman Old Style" w:hAnsi="Bookman Old Style"/>
          <w:sz w:val="24"/>
          <w:szCs w:val="24"/>
        </w:rPr>
        <w:t>% financijskim planom planirana sredstva a sadrže:</w:t>
      </w:r>
    </w:p>
    <w:p w:rsidR="00DD55D8" w:rsidRDefault="00FB3D23" w:rsidP="004272FD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Prihode od prodaje proizvoda i roba te pruženih usluga (podskupina 661) koji su ostvareni u iznosu od </w:t>
      </w:r>
      <w:r w:rsidR="00696815">
        <w:rPr>
          <w:rFonts w:ascii="Bookman Old Style" w:hAnsi="Bookman Old Style"/>
          <w:sz w:val="24"/>
          <w:szCs w:val="24"/>
        </w:rPr>
        <w:t>7.330</w:t>
      </w:r>
      <w:r>
        <w:rPr>
          <w:rFonts w:ascii="Bookman Old Style" w:hAnsi="Bookman Old Style"/>
          <w:sz w:val="24"/>
          <w:szCs w:val="24"/>
        </w:rPr>
        <w:t xml:space="preserve"> € ili </w:t>
      </w:r>
      <w:r w:rsidR="006A21BF">
        <w:rPr>
          <w:rFonts w:ascii="Bookman Old Style" w:hAnsi="Bookman Old Style"/>
          <w:sz w:val="24"/>
          <w:szCs w:val="24"/>
        </w:rPr>
        <w:t>86,39</w:t>
      </w:r>
      <w:r>
        <w:rPr>
          <w:rFonts w:ascii="Bookman Old Style" w:hAnsi="Bookman Old Style"/>
          <w:sz w:val="24"/>
          <w:szCs w:val="24"/>
        </w:rPr>
        <w:t xml:space="preserve">% </w:t>
      </w:r>
      <w:r w:rsidR="006A21BF">
        <w:rPr>
          <w:rFonts w:ascii="Bookman Old Style" w:hAnsi="Bookman Old Style"/>
          <w:sz w:val="24"/>
          <w:szCs w:val="24"/>
        </w:rPr>
        <w:t xml:space="preserve">planiranih sredstava. </w:t>
      </w:r>
      <w:r w:rsidR="0049549C" w:rsidRPr="00FB3D23">
        <w:rPr>
          <w:rFonts w:ascii="Bookman Old Style" w:hAnsi="Bookman Old Style"/>
          <w:sz w:val="24"/>
          <w:szCs w:val="24"/>
        </w:rPr>
        <w:t xml:space="preserve">Prihodi od prodaje proizvoda i usluga odnose se na prihode od najma </w:t>
      </w:r>
      <w:r w:rsidR="006A21BF">
        <w:rPr>
          <w:rFonts w:ascii="Bookman Old Style" w:hAnsi="Bookman Old Style"/>
          <w:sz w:val="24"/>
          <w:szCs w:val="24"/>
        </w:rPr>
        <w:t xml:space="preserve">dvorane </w:t>
      </w:r>
      <w:r w:rsidR="00292FC3" w:rsidRPr="00FB3D23">
        <w:rPr>
          <w:rFonts w:ascii="Bookman Old Style" w:hAnsi="Bookman Old Style"/>
          <w:sz w:val="24"/>
          <w:szCs w:val="24"/>
        </w:rPr>
        <w:t xml:space="preserve">i prodaje starog </w:t>
      </w:r>
      <w:r w:rsidR="006A21BF">
        <w:rPr>
          <w:rFonts w:ascii="Bookman Old Style" w:hAnsi="Bookman Old Style"/>
          <w:sz w:val="24"/>
          <w:szCs w:val="24"/>
        </w:rPr>
        <w:t>baterija</w:t>
      </w:r>
      <w:r w:rsidR="00DD55D8">
        <w:rPr>
          <w:rFonts w:ascii="Bookman Old Style" w:hAnsi="Bookman Old Style"/>
          <w:sz w:val="24"/>
          <w:szCs w:val="24"/>
        </w:rPr>
        <w:t xml:space="preserve"> i u strukturi ukupnih prihoda čine 0,0</w:t>
      </w:r>
      <w:r w:rsidR="006A21BF">
        <w:rPr>
          <w:rFonts w:ascii="Bookman Old Style" w:hAnsi="Bookman Old Style"/>
          <w:sz w:val="24"/>
          <w:szCs w:val="24"/>
        </w:rPr>
        <w:t>1</w:t>
      </w:r>
      <w:r w:rsidR="00DD55D8">
        <w:rPr>
          <w:rFonts w:ascii="Bookman Old Style" w:hAnsi="Bookman Old Style"/>
          <w:sz w:val="24"/>
          <w:szCs w:val="24"/>
        </w:rPr>
        <w:t>%.</w:t>
      </w:r>
    </w:p>
    <w:p w:rsidR="00752F09" w:rsidRPr="006A21BF" w:rsidRDefault="0049549C" w:rsidP="006A21BF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A21BF">
        <w:rPr>
          <w:rFonts w:ascii="Bookman Old Style" w:hAnsi="Bookman Old Style"/>
          <w:sz w:val="24"/>
          <w:szCs w:val="24"/>
        </w:rPr>
        <w:t xml:space="preserve">donacije školi </w:t>
      </w:r>
      <w:r w:rsidR="00DD55D8" w:rsidRPr="006A21BF">
        <w:rPr>
          <w:rFonts w:ascii="Bookman Old Style" w:hAnsi="Bookman Old Style"/>
          <w:sz w:val="24"/>
          <w:szCs w:val="24"/>
        </w:rPr>
        <w:t xml:space="preserve">od pravnih i fizičkih osoba izvan općeg proračuna (podskupina 663) ostvareni su u iznosu od </w:t>
      </w:r>
      <w:r w:rsidR="006A21BF" w:rsidRPr="006A21BF">
        <w:rPr>
          <w:rFonts w:ascii="Bookman Old Style" w:hAnsi="Bookman Old Style"/>
          <w:sz w:val="24"/>
          <w:szCs w:val="24"/>
        </w:rPr>
        <w:t xml:space="preserve">8.993 </w:t>
      </w:r>
      <w:r w:rsidR="00DD55D8" w:rsidRPr="006A21BF">
        <w:rPr>
          <w:rFonts w:ascii="Bookman Old Style" w:hAnsi="Bookman Old Style"/>
          <w:sz w:val="24"/>
          <w:szCs w:val="24"/>
        </w:rPr>
        <w:t xml:space="preserve">€ a odnose se na donacije ostvarene </w:t>
      </w:r>
      <w:r w:rsidRPr="006A21BF">
        <w:rPr>
          <w:rFonts w:ascii="Bookman Old Style" w:hAnsi="Bookman Old Style"/>
          <w:sz w:val="24"/>
          <w:szCs w:val="24"/>
        </w:rPr>
        <w:t xml:space="preserve">od </w:t>
      </w:r>
      <w:r w:rsidR="006A21BF" w:rsidRPr="006A21BF">
        <w:rPr>
          <w:rFonts w:ascii="Bookman Old Style" w:hAnsi="Bookman Old Style"/>
          <w:sz w:val="24"/>
          <w:szCs w:val="24"/>
        </w:rPr>
        <w:t xml:space="preserve">roditelja učenika, grupe građana </w:t>
      </w:r>
      <w:r w:rsidR="006A21BF">
        <w:rPr>
          <w:rFonts w:ascii="Bookman Old Style" w:hAnsi="Bookman Old Style"/>
          <w:sz w:val="24"/>
          <w:szCs w:val="24"/>
        </w:rPr>
        <w:t xml:space="preserve">(mjesnih odbora) </w:t>
      </w:r>
      <w:r w:rsidR="006A21BF" w:rsidRPr="006A21BF">
        <w:rPr>
          <w:rFonts w:ascii="Bookman Old Style" w:hAnsi="Bookman Old Style"/>
          <w:sz w:val="24"/>
          <w:szCs w:val="24"/>
        </w:rPr>
        <w:t>za organizaciju 150 godišnjice škole.</w:t>
      </w:r>
      <w:r w:rsidRPr="006A21BF">
        <w:rPr>
          <w:rFonts w:ascii="Bookman Old Style" w:hAnsi="Bookman Old Style"/>
          <w:sz w:val="24"/>
          <w:szCs w:val="24"/>
        </w:rPr>
        <w:t xml:space="preserve"> </w:t>
      </w:r>
    </w:p>
    <w:p w:rsidR="0093094D" w:rsidRDefault="0093094D" w:rsidP="0093094D">
      <w:pPr>
        <w:jc w:val="both"/>
        <w:rPr>
          <w:rFonts w:ascii="Bookman Old Style" w:hAnsi="Bookman Old Style"/>
          <w:sz w:val="24"/>
          <w:szCs w:val="24"/>
        </w:rPr>
      </w:pPr>
      <w:r w:rsidRPr="002979EA">
        <w:rPr>
          <w:rFonts w:ascii="Bookman Old Style" w:hAnsi="Bookman Old Style"/>
          <w:i/>
          <w:color w:val="000000" w:themeColor="text1"/>
          <w:sz w:val="24"/>
          <w:szCs w:val="24"/>
        </w:rPr>
        <w:t>Prihodi iz nadležnog proračuna</w:t>
      </w:r>
      <w:r w:rsidRPr="002979E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F0C47" w:rsidRPr="007F0C47">
        <w:rPr>
          <w:rFonts w:ascii="Bookman Old Style" w:hAnsi="Bookman Old Style"/>
          <w:color w:val="000000" w:themeColor="text1"/>
          <w:sz w:val="24"/>
          <w:szCs w:val="24"/>
        </w:rPr>
        <w:t>(skupina 67)</w:t>
      </w:r>
      <w:r w:rsidR="007F0C47">
        <w:rPr>
          <w:rFonts w:ascii="Bookman Old Style" w:hAnsi="Bookman Old Style"/>
          <w:color w:val="000000" w:themeColor="text1"/>
          <w:sz w:val="24"/>
          <w:szCs w:val="24"/>
        </w:rPr>
        <w:t xml:space="preserve"> ostvareni </w:t>
      </w:r>
      <w:r w:rsidRPr="0093094D">
        <w:rPr>
          <w:rFonts w:ascii="Bookman Old Style" w:hAnsi="Bookman Old Style"/>
          <w:sz w:val="24"/>
          <w:szCs w:val="24"/>
        </w:rPr>
        <w:t xml:space="preserve">su u iznosu od </w:t>
      </w:r>
      <w:r w:rsidR="006A21BF">
        <w:rPr>
          <w:rFonts w:ascii="Bookman Old Style" w:hAnsi="Bookman Old Style"/>
          <w:sz w:val="24"/>
          <w:szCs w:val="24"/>
        </w:rPr>
        <w:t>422.037</w:t>
      </w:r>
      <w:r w:rsidRPr="0093094D">
        <w:rPr>
          <w:rFonts w:ascii="Bookman Old Style" w:hAnsi="Bookman Old Style"/>
          <w:sz w:val="24"/>
          <w:szCs w:val="24"/>
        </w:rPr>
        <w:t xml:space="preserve"> €  i čine </w:t>
      </w:r>
      <w:r w:rsidR="006A21BF">
        <w:rPr>
          <w:rFonts w:ascii="Bookman Old Style" w:hAnsi="Bookman Old Style"/>
          <w:sz w:val="24"/>
          <w:szCs w:val="24"/>
        </w:rPr>
        <w:t>92,11</w:t>
      </w:r>
      <w:r w:rsidRPr="0093094D">
        <w:rPr>
          <w:rFonts w:ascii="Bookman Old Style" w:hAnsi="Bookman Old Style"/>
          <w:sz w:val="24"/>
          <w:szCs w:val="24"/>
        </w:rPr>
        <w:t xml:space="preserve">% </w:t>
      </w:r>
      <w:r w:rsidR="007F0C47">
        <w:rPr>
          <w:rFonts w:ascii="Bookman Old Style" w:hAnsi="Bookman Old Style"/>
          <w:sz w:val="24"/>
          <w:szCs w:val="24"/>
        </w:rPr>
        <w:t xml:space="preserve">sredstava planiranih financijskim planom. </w:t>
      </w:r>
      <w:r w:rsidR="002979EA">
        <w:rPr>
          <w:rFonts w:ascii="Bookman Old Style" w:hAnsi="Bookman Old Style"/>
          <w:sz w:val="24"/>
          <w:szCs w:val="24"/>
        </w:rPr>
        <w:t xml:space="preserve"> Od</w:t>
      </w:r>
      <w:r w:rsidRPr="0093094D">
        <w:rPr>
          <w:rFonts w:ascii="Bookman Old Style" w:hAnsi="Bookman Old Style"/>
          <w:sz w:val="24"/>
          <w:szCs w:val="24"/>
        </w:rPr>
        <w:t xml:space="preserve">nose </w:t>
      </w:r>
      <w:r w:rsidR="002979EA">
        <w:rPr>
          <w:rFonts w:ascii="Bookman Old Style" w:hAnsi="Bookman Old Style"/>
          <w:sz w:val="24"/>
          <w:szCs w:val="24"/>
        </w:rPr>
        <w:t xml:space="preserve">se </w:t>
      </w:r>
      <w:r w:rsidRPr="0093094D">
        <w:rPr>
          <w:rFonts w:ascii="Bookman Old Style" w:hAnsi="Bookman Old Style"/>
          <w:sz w:val="24"/>
          <w:szCs w:val="24"/>
        </w:rPr>
        <w:t xml:space="preserve">na prihode za minimalne standarde u osnovnom školstvu, za pojačani standard u školstvu, kapitalno ulaganje </w:t>
      </w:r>
      <w:r w:rsidR="008405C6">
        <w:rPr>
          <w:rFonts w:ascii="Bookman Old Style" w:hAnsi="Bookman Old Style"/>
          <w:sz w:val="24"/>
          <w:szCs w:val="24"/>
        </w:rPr>
        <w:t>te</w:t>
      </w:r>
      <w:r w:rsidRPr="0093094D">
        <w:rPr>
          <w:rFonts w:ascii="Bookman Old Style" w:hAnsi="Bookman Old Style"/>
          <w:sz w:val="24"/>
          <w:szCs w:val="24"/>
        </w:rPr>
        <w:t xml:space="preserve"> tekuće i investicijsko održavanje u školstvu. Ostvaruju se iz gradskog proračuna a koriste se za pokriće rashoda za redovno poslovanje </w:t>
      </w:r>
      <w:r w:rsidR="007F0C47">
        <w:rPr>
          <w:rFonts w:ascii="Bookman Old Style" w:hAnsi="Bookman Old Style"/>
          <w:sz w:val="24"/>
          <w:szCs w:val="24"/>
        </w:rPr>
        <w:t xml:space="preserve">te </w:t>
      </w:r>
      <w:r w:rsidR="0006563E">
        <w:rPr>
          <w:rFonts w:ascii="Bookman Old Style" w:hAnsi="Bookman Old Style"/>
          <w:sz w:val="24"/>
          <w:szCs w:val="24"/>
        </w:rPr>
        <w:t>bilježe</w:t>
      </w:r>
      <w:r w:rsidR="007F0C47">
        <w:rPr>
          <w:rFonts w:ascii="Bookman Old Style" w:hAnsi="Bookman Old Style"/>
          <w:sz w:val="24"/>
          <w:szCs w:val="24"/>
        </w:rPr>
        <w:t xml:space="preserve"> izvršenje od </w:t>
      </w:r>
      <w:r w:rsidR="006A21BF">
        <w:rPr>
          <w:rFonts w:ascii="Bookman Old Style" w:hAnsi="Bookman Old Style"/>
          <w:sz w:val="24"/>
          <w:szCs w:val="24"/>
        </w:rPr>
        <w:t>388.731</w:t>
      </w:r>
      <w:r w:rsidR="007F0C47">
        <w:rPr>
          <w:rFonts w:ascii="Bookman Old Style" w:hAnsi="Bookman Old Style"/>
          <w:sz w:val="24"/>
          <w:szCs w:val="24"/>
        </w:rPr>
        <w:t xml:space="preserve"> €</w:t>
      </w:r>
      <w:r w:rsidR="0006563E">
        <w:rPr>
          <w:rFonts w:ascii="Bookman Old Style" w:hAnsi="Bookman Old Style"/>
          <w:sz w:val="24"/>
          <w:szCs w:val="24"/>
        </w:rPr>
        <w:t xml:space="preserve"> </w:t>
      </w:r>
      <w:r w:rsidR="006A21BF">
        <w:rPr>
          <w:rFonts w:ascii="Bookman Old Style" w:hAnsi="Bookman Old Style"/>
          <w:sz w:val="24"/>
          <w:szCs w:val="24"/>
        </w:rPr>
        <w:t>.</w:t>
      </w:r>
    </w:p>
    <w:p w:rsidR="006A21BF" w:rsidRPr="0093094D" w:rsidRDefault="006A21BF" w:rsidP="0093094D">
      <w:pPr>
        <w:jc w:val="both"/>
        <w:rPr>
          <w:rFonts w:ascii="Bookman Old Style" w:hAnsi="Bookman Old Style"/>
          <w:sz w:val="24"/>
          <w:szCs w:val="24"/>
        </w:rPr>
      </w:pPr>
    </w:p>
    <w:p w:rsidR="0093094D" w:rsidRPr="00B52ECB" w:rsidRDefault="00CC208F" w:rsidP="00A87B8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1.</w:t>
      </w:r>
      <w:r w:rsidR="00911539" w:rsidRPr="00B52ECB">
        <w:rPr>
          <w:rFonts w:ascii="Bookman Old Style" w:hAnsi="Bookman Old Style"/>
          <w:b/>
          <w:sz w:val="24"/>
          <w:szCs w:val="24"/>
        </w:rPr>
        <w:t>1.2</w:t>
      </w:r>
      <w:r w:rsidR="00A87B85" w:rsidRPr="00B52ECB">
        <w:rPr>
          <w:rFonts w:ascii="Bookman Old Style" w:hAnsi="Bookman Old Style"/>
          <w:b/>
          <w:sz w:val="24"/>
          <w:szCs w:val="24"/>
        </w:rPr>
        <w:t>.</w:t>
      </w:r>
      <w:r w:rsidR="00832DA2" w:rsidRPr="00B52ECB">
        <w:rPr>
          <w:rFonts w:ascii="Bookman Old Style" w:hAnsi="Bookman Old Style"/>
          <w:b/>
          <w:sz w:val="24"/>
          <w:szCs w:val="24"/>
        </w:rPr>
        <w:t xml:space="preserve"> Prihodi od prodaje nefinancijske imovine</w:t>
      </w:r>
    </w:p>
    <w:p w:rsidR="00297DF9" w:rsidRDefault="00154EE8" w:rsidP="00297DF9">
      <w:pPr>
        <w:jc w:val="both"/>
        <w:rPr>
          <w:rFonts w:ascii="Bookman Old Style" w:hAnsi="Bookman Old Style"/>
          <w:sz w:val="24"/>
          <w:szCs w:val="24"/>
        </w:rPr>
      </w:pPr>
      <w:r w:rsidRPr="00297DF9">
        <w:rPr>
          <w:rFonts w:ascii="Bookman Old Style" w:hAnsi="Bookman Old Style"/>
          <w:sz w:val="24"/>
          <w:szCs w:val="24"/>
        </w:rPr>
        <w:t xml:space="preserve">Prihodi od prodaje nefinancijske imovine za 2023. godinu </w:t>
      </w:r>
      <w:r w:rsidR="006A21BF">
        <w:rPr>
          <w:rFonts w:ascii="Bookman Old Style" w:hAnsi="Bookman Old Style"/>
          <w:sz w:val="24"/>
          <w:szCs w:val="24"/>
        </w:rPr>
        <w:t>nije bilo.</w:t>
      </w:r>
    </w:p>
    <w:p w:rsidR="006A21BF" w:rsidRDefault="006A21BF" w:rsidP="00297DF9">
      <w:pPr>
        <w:jc w:val="both"/>
        <w:rPr>
          <w:rFonts w:ascii="Bookman Old Style" w:hAnsi="Bookman Old Style"/>
          <w:sz w:val="24"/>
          <w:szCs w:val="24"/>
        </w:rPr>
      </w:pPr>
    </w:p>
    <w:p w:rsidR="006A21BF" w:rsidRPr="00297DF9" w:rsidRDefault="006A21BF" w:rsidP="00297DF9">
      <w:pPr>
        <w:jc w:val="both"/>
        <w:rPr>
          <w:rFonts w:ascii="Bookman Old Style" w:hAnsi="Bookman Old Style"/>
          <w:sz w:val="24"/>
          <w:szCs w:val="24"/>
        </w:rPr>
      </w:pPr>
    </w:p>
    <w:p w:rsidR="001140B5" w:rsidRPr="00B52ECB" w:rsidRDefault="00911539" w:rsidP="004272FD">
      <w:pPr>
        <w:pStyle w:val="Odlomakpopisa"/>
        <w:numPr>
          <w:ilvl w:val="1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r w:rsidRPr="00B52ECB">
        <w:rPr>
          <w:rFonts w:ascii="Bookman Old Style" w:hAnsi="Bookman Old Style"/>
          <w:b/>
          <w:sz w:val="24"/>
          <w:szCs w:val="24"/>
        </w:rPr>
        <w:lastRenderedPageBreak/>
        <w:t>Rashodi</w:t>
      </w:r>
      <w:r w:rsidR="001140B5" w:rsidRPr="00B52ECB">
        <w:rPr>
          <w:rFonts w:ascii="Bookman Old Style" w:hAnsi="Bookman Old Style"/>
          <w:b/>
          <w:sz w:val="24"/>
          <w:szCs w:val="24"/>
        </w:rPr>
        <w:t xml:space="preserve"> i izdaci</w:t>
      </w:r>
    </w:p>
    <w:p w:rsidR="00796B5B" w:rsidRDefault="00B9709D" w:rsidP="00796B5B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Ukupni rashodi </w:t>
      </w:r>
      <w:r w:rsidRPr="00B9709D">
        <w:rPr>
          <w:rFonts w:ascii="Bookman Old Style" w:hAnsi="Bookman Old Style" w:cs="Arial"/>
          <w:sz w:val="24"/>
          <w:szCs w:val="24"/>
        </w:rPr>
        <w:t xml:space="preserve"> u 2023. godini </w:t>
      </w:r>
      <w:r>
        <w:rPr>
          <w:rFonts w:ascii="Bookman Old Style" w:hAnsi="Bookman Old Style" w:cs="Arial"/>
          <w:sz w:val="24"/>
          <w:szCs w:val="24"/>
        </w:rPr>
        <w:t xml:space="preserve">ostvareni </w:t>
      </w:r>
      <w:r w:rsidRPr="00B9709D">
        <w:rPr>
          <w:rFonts w:ascii="Bookman Old Style" w:hAnsi="Bookman Old Style" w:cs="Arial"/>
          <w:sz w:val="24"/>
          <w:szCs w:val="24"/>
        </w:rPr>
        <w:t xml:space="preserve"> su u iznosu od </w:t>
      </w:r>
      <w:r w:rsidR="006A21BF">
        <w:rPr>
          <w:rFonts w:ascii="Bookman Old Style" w:hAnsi="Bookman Old Style" w:cs="Arial"/>
          <w:sz w:val="24"/>
          <w:szCs w:val="24"/>
        </w:rPr>
        <w:t>1.549.822</w:t>
      </w:r>
      <w:r w:rsidRPr="00B9709D">
        <w:rPr>
          <w:rFonts w:ascii="Bookman Old Style" w:hAnsi="Bookman Old Style" w:cs="Arial"/>
          <w:sz w:val="24"/>
          <w:szCs w:val="24"/>
        </w:rPr>
        <w:t xml:space="preserve"> eura. Izvršenje plana </w:t>
      </w:r>
      <w:r w:rsidR="006A21BF">
        <w:rPr>
          <w:rFonts w:ascii="Bookman Old Style" w:hAnsi="Bookman Old Style" w:cs="Arial"/>
          <w:sz w:val="24"/>
          <w:szCs w:val="24"/>
        </w:rPr>
        <w:t>iznosi 94,09% u odnosu na plan.</w:t>
      </w:r>
    </w:p>
    <w:p w:rsidR="00796B5B" w:rsidRDefault="00796B5B" w:rsidP="00796B5B">
      <w:pPr>
        <w:spacing w:after="0"/>
        <w:rPr>
          <w:rFonts w:ascii="Bookman Old Style" w:hAnsi="Bookman Old Style"/>
          <w:color w:val="000000" w:themeColor="text1"/>
        </w:rPr>
      </w:pPr>
    </w:p>
    <w:p w:rsidR="002368BF" w:rsidRPr="002368BF" w:rsidRDefault="002368BF" w:rsidP="00796B5B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2368BF">
        <w:rPr>
          <w:rFonts w:ascii="Bookman Old Style" w:hAnsi="Bookman Old Style"/>
          <w:color w:val="000000" w:themeColor="text1"/>
          <w:sz w:val="24"/>
          <w:szCs w:val="24"/>
        </w:rPr>
        <w:t>Rashodi po ekonomskoj klasifikaciji dijele se na :</w:t>
      </w:r>
    </w:p>
    <w:p w:rsidR="002368BF" w:rsidRPr="002368BF" w:rsidRDefault="002368BF" w:rsidP="002368BF">
      <w:pPr>
        <w:pStyle w:val="Odlomakpopisa"/>
        <w:numPr>
          <w:ilvl w:val="0"/>
          <w:numId w:val="16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2368BF">
        <w:rPr>
          <w:rFonts w:ascii="Bookman Old Style" w:hAnsi="Bookman Old Style"/>
          <w:color w:val="000000" w:themeColor="text1"/>
          <w:sz w:val="24"/>
          <w:szCs w:val="24"/>
        </w:rPr>
        <w:t>Rashode poslovanja</w:t>
      </w:r>
    </w:p>
    <w:p w:rsidR="002368BF" w:rsidRPr="002368BF" w:rsidRDefault="002368BF" w:rsidP="002368BF">
      <w:pPr>
        <w:pStyle w:val="Odlomakpopisa"/>
        <w:numPr>
          <w:ilvl w:val="0"/>
          <w:numId w:val="16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2368BF">
        <w:rPr>
          <w:rFonts w:ascii="Bookman Old Style" w:hAnsi="Bookman Old Style"/>
          <w:color w:val="000000" w:themeColor="text1"/>
          <w:sz w:val="24"/>
          <w:szCs w:val="24"/>
        </w:rPr>
        <w:t>Rashode za nabavu nefinancijske imovine</w:t>
      </w:r>
    </w:p>
    <w:p w:rsidR="00796B5B" w:rsidRDefault="00796B5B" w:rsidP="00796B5B">
      <w:pPr>
        <w:spacing w:after="0"/>
        <w:rPr>
          <w:rFonts w:ascii="Bookman Old Style" w:hAnsi="Bookman Old Style"/>
          <w:color w:val="000000" w:themeColor="text1"/>
        </w:rPr>
      </w:pPr>
    </w:p>
    <w:p w:rsidR="00ED212F" w:rsidRPr="00796B5B" w:rsidRDefault="00ED212F" w:rsidP="00796B5B">
      <w:pPr>
        <w:spacing w:after="0"/>
        <w:rPr>
          <w:rFonts w:ascii="Bookman Old Style" w:hAnsi="Bookman Old Style" w:cs="Arial"/>
          <w:sz w:val="24"/>
          <w:szCs w:val="24"/>
        </w:rPr>
      </w:pPr>
      <w:r w:rsidRPr="00796B5B">
        <w:rPr>
          <w:rFonts w:ascii="Bookman Old Style" w:hAnsi="Bookman Old Style"/>
          <w:color w:val="000000" w:themeColor="text1"/>
        </w:rPr>
        <w:t xml:space="preserve">Tablica 2. </w:t>
      </w:r>
      <w:r w:rsidRPr="00796B5B">
        <w:rPr>
          <w:rFonts w:ascii="Bookman Old Style" w:hAnsi="Bookman Old Style"/>
        </w:rPr>
        <w:t>Pregled rashoda prema ekonomskoj klasifikaciji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897"/>
        <w:gridCol w:w="5023"/>
        <w:gridCol w:w="1300"/>
        <w:gridCol w:w="1300"/>
        <w:gridCol w:w="1420"/>
      </w:tblGrid>
      <w:tr w:rsidR="006A21BF" w:rsidRPr="006A21BF" w:rsidTr="006A21BF">
        <w:trPr>
          <w:trHeight w:val="70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Račun rashoda/      izdataka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Ostvarenje/             izvršenje tekuće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A21BF" w:rsidRPr="006A21BF" w:rsidTr="006A21BF">
        <w:trPr>
          <w:trHeight w:val="2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6=4/3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1.149.710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1.137.611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98,95%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959.181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937.731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97,76%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925.696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917.255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99,09%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23.535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10.238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43,50%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9.950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10.238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102,89%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47.700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50.478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105,82%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47.700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50.478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105,82%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142.829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149.401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104,60%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Doprinos za obvezno zdravstveno osiguranje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140.829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149.401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106,09%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 xml:space="preserve">Doprinosi za </w:t>
            </w:r>
            <w:proofErr w:type="spellStart"/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obv</w:t>
            </w:r>
            <w:proofErr w:type="spellEnd"/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. osiguranje u slučaju nezaposlenosti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442.919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364.297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82,25%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73.428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73.203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99,69%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9.380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7.935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84,60%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3.330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1.771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53,19%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2.188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93,89%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58.388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61.309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105,00%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273.501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212.804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77,81%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22.777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75,22%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185.585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149.050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80,31%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31.400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23.345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74,35%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18.070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10.117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55,99%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Sitan inventar i auto gume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6.382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98,29%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67,87%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95.990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78.290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81,56%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Usluge telefona, pošte, prijevoza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13.030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11.393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87,44%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16.230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15.592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96,07%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3.550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4.649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130,97%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9.009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94,58%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1.146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59,39%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6.455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68,63%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8.340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8.521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102,17%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lastRenderedPageBreak/>
              <w:t>3239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5.805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37,59%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Naknade za rad članova školskog odbora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1.871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81,37%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2.310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97,06%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2.639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98,84%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20.825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12.522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60,13%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3.410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1.651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48,43%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3.410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1.651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48,43%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89,32%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2.740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38,43%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 xml:space="preserve">Ostali nespomenuti </w:t>
            </w:r>
            <w:proofErr w:type="spellStart"/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financ</w:t>
            </w:r>
            <w:proofErr w:type="spellEnd"/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.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Ostale naknade građanima i </w:t>
            </w:r>
            <w:proofErr w:type="spellStart"/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kučanstvima</w:t>
            </w:r>
            <w:proofErr w:type="spellEnd"/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iz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10.535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8.092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76,81%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 xml:space="preserve">naknade građanima i </w:t>
            </w:r>
            <w:proofErr w:type="spellStart"/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kučanstvima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10.535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8.092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76,81%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ostale tekuće donacije u naravi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705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99,95%</w:t>
            </w:r>
          </w:p>
        </w:tc>
      </w:tr>
      <w:tr w:rsidR="006A21BF" w:rsidRPr="006A21BF" w:rsidTr="006A21BF">
        <w:trPr>
          <w:trHeight w:val="3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1.606.574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1.511.652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94,09%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neproizvedene</w:t>
            </w:r>
            <w:proofErr w:type="spellEnd"/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40.711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38.171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93,76%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40.711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38.171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93,76%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40.711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38.171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93,76%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14.234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14.234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100,00%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98,51%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1.572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0,00%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9.770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8.986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91,97%</w:t>
            </w:r>
          </w:p>
        </w:tc>
      </w:tr>
      <w:tr w:rsidR="006A21BF" w:rsidRPr="006A21BF" w:rsidTr="006A21B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14.465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12.719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87,93%</w:t>
            </w:r>
          </w:p>
        </w:tc>
      </w:tr>
      <w:tr w:rsidR="006A21BF" w:rsidRPr="006A21BF" w:rsidTr="006A21BF">
        <w:trPr>
          <w:trHeight w:val="3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40.711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38.171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93,76%</w:t>
            </w:r>
          </w:p>
        </w:tc>
      </w:tr>
      <w:tr w:rsidR="006A21BF" w:rsidRPr="006A21BF" w:rsidTr="006A21BF">
        <w:trPr>
          <w:trHeight w:val="3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1.647.285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1.549.822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BF" w:rsidRPr="006A21BF" w:rsidRDefault="006A21BF" w:rsidP="006A2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A21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94,08%</w:t>
            </w:r>
          </w:p>
        </w:tc>
      </w:tr>
    </w:tbl>
    <w:p w:rsidR="00911539" w:rsidRPr="00911539" w:rsidRDefault="00911539" w:rsidP="00911539">
      <w:pPr>
        <w:jc w:val="both"/>
        <w:rPr>
          <w:rFonts w:ascii="Bookman Old Style" w:hAnsi="Bookman Old Style"/>
          <w:sz w:val="24"/>
          <w:szCs w:val="24"/>
        </w:rPr>
      </w:pPr>
    </w:p>
    <w:p w:rsidR="00B21E1D" w:rsidRPr="001140B5" w:rsidRDefault="000B685D" w:rsidP="001140B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1140B5" w:rsidRPr="001140B5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>2.</w:t>
      </w:r>
      <w:r w:rsidR="001140B5" w:rsidRPr="001140B5">
        <w:rPr>
          <w:rFonts w:ascii="Bookman Old Style" w:hAnsi="Bookman Old Style"/>
          <w:b/>
          <w:sz w:val="24"/>
          <w:szCs w:val="24"/>
        </w:rPr>
        <w:t>1</w:t>
      </w:r>
      <w:r w:rsidR="001140B5">
        <w:rPr>
          <w:rFonts w:ascii="Bookman Old Style" w:hAnsi="Bookman Old Style"/>
          <w:sz w:val="24"/>
          <w:szCs w:val="24"/>
        </w:rPr>
        <w:t>.</w:t>
      </w:r>
      <w:r w:rsidR="00B21E1D" w:rsidRPr="001140B5">
        <w:rPr>
          <w:rFonts w:ascii="Bookman Old Style" w:hAnsi="Bookman Old Style"/>
          <w:b/>
          <w:sz w:val="24"/>
          <w:szCs w:val="24"/>
        </w:rPr>
        <w:t>Rashodi poslovanja</w:t>
      </w:r>
    </w:p>
    <w:p w:rsidR="00BC368A" w:rsidRDefault="00B21E1D" w:rsidP="00B21E1D">
      <w:pPr>
        <w:jc w:val="both"/>
        <w:rPr>
          <w:rFonts w:ascii="Bookman Old Style" w:hAnsi="Bookman Old Style"/>
          <w:sz w:val="24"/>
          <w:szCs w:val="24"/>
        </w:rPr>
      </w:pPr>
      <w:r w:rsidRPr="00FD357D">
        <w:rPr>
          <w:rFonts w:ascii="Bookman Old Style" w:hAnsi="Bookman Old Style"/>
          <w:i/>
          <w:sz w:val="24"/>
          <w:szCs w:val="24"/>
        </w:rPr>
        <w:t>Rashodi poslovanja</w:t>
      </w:r>
      <w:r w:rsidR="001B12A6">
        <w:rPr>
          <w:rFonts w:ascii="Bookman Old Style" w:hAnsi="Bookman Old Style"/>
          <w:sz w:val="24"/>
          <w:szCs w:val="24"/>
        </w:rPr>
        <w:t xml:space="preserve"> (razred 3 - </w:t>
      </w:r>
      <w:r w:rsidRPr="00B21E1D">
        <w:rPr>
          <w:rFonts w:ascii="Bookman Old Style" w:hAnsi="Bookman Old Style"/>
          <w:sz w:val="24"/>
          <w:szCs w:val="24"/>
        </w:rPr>
        <w:t>rashodi za zaposlene,</w:t>
      </w:r>
      <w:r w:rsidR="00B80645">
        <w:rPr>
          <w:rFonts w:ascii="Bookman Old Style" w:hAnsi="Bookman Old Style"/>
          <w:sz w:val="24"/>
          <w:szCs w:val="24"/>
        </w:rPr>
        <w:t xml:space="preserve"> </w:t>
      </w:r>
      <w:r w:rsidRPr="00B21E1D">
        <w:rPr>
          <w:rFonts w:ascii="Bookman Old Style" w:hAnsi="Bookman Old Style"/>
          <w:sz w:val="24"/>
          <w:szCs w:val="24"/>
        </w:rPr>
        <w:t>materijalni rashodi, financijski rashodi, naknade građanima i kućanstvima i druge naknade  te ostali rashodi)</w:t>
      </w:r>
      <w:r w:rsidR="001B12A6">
        <w:rPr>
          <w:rFonts w:ascii="Bookman Old Style" w:hAnsi="Bookman Old Style"/>
          <w:sz w:val="24"/>
          <w:szCs w:val="24"/>
        </w:rPr>
        <w:t xml:space="preserve"> za razdoblje od 01.01. od 31.12. 2023</w:t>
      </w:r>
      <w:r w:rsidRPr="00B21E1D">
        <w:rPr>
          <w:rFonts w:ascii="Bookman Old Style" w:hAnsi="Bookman Old Style"/>
          <w:sz w:val="24"/>
          <w:szCs w:val="24"/>
        </w:rPr>
        <w:t>.</w:t>
      </w:r>
      <w:r w:rsidR="001B12A6">
        <w:rPr>
          <w:rFonts w:ascii="Bookman Old Style" w:hAnsi="Bookman Old Style"/>
          <w:sz w:val="24"/>
          <w:szCs w:val="24"/>
        </w:rPr>
        <w:t xml:space="preserve"> godine izvršeni su u iznosu od </w:t>
      </w:r>
      <w:r w:rsidR="00BC368A">
        <w:rPr>
          <w:rFonts w:ascii="Bookman Old Style" w:hAnsi="Bookman Old Style"/>
          <w:sz w:val="24"/>
          <w:szCs w:val="24"/>
        </w:rPr>
        <w:t>1.511.652</w:t>
      </w:r>
      <w:r w:rsidR="00FD357D">
        <w:rPr>
          <w:rFonts w:ascii="Bookman Old Style" w:hAnsi="Bookman Old Style"/>
          <w:sz w:val="24"/>
          <w:szCs w:val="24"/>
        </w:rPr>
        <w:t xml:space="preserve"> € i </w:t>
      </w:r>
      <w:r w:rsidR="00BC368A">
        <w:rPr>
          <w:rFonts w:ascii="Bookman Old Style" w:hAnsi="Bookman Old Style"/>
          <w:sz w:val="24"/>
          <w:szCs w:val="24"/>
        </w:rPr>
        <w:t>u odnosu na plan su na 94.09%.</w:t>
      </w:r>
    </w:p>
    <w:p w:rsidR="00521B42" w:rsidRPr="0089425C" w:rsidRDefault="0089425C" w:rsidP="00B21E1D">
      <w:pPr>
        <w:jc w:val="both"/>
        <w:rPr>
          <w:rFonts w:ascii="Bookman Old Style" w:hAnsi="Bookman Old Style"/>
          <w:i/>
          <w:sz w:val="24"/>
          <w:szCs w:val="24"/>
        </w:rPr>
      </w:pPr>
      <w:r w:rsidRPr="0089425C">
        <w:rPr>
          <w:rFonts w:ascii="Bookman Old Style" w:hAnsi="Bookman Old Style"/>
          <w:i/>
          <w:sz w:val="24"/>
          <w:szCs w:val="24"/>
        </w:rPr>
        <w:t>Dijele se na:</w:t>
      </w:r>
    </w:p>
    <w:p w:rsidR="00A97D39" w:rsidRPr="00A97D39" w:rsidRDefault="00B21E1D" w:rsidP="00A97D39">
      <w:pPr>
        <w:jc w:val="both"/>
        <w:rPr>
          <w:rFonts w:ascii="Bookman Old Style" w:hAnsi="Bookman Old Style"/>
          <w:sz w:val="24"/>
          <w:szCs w:val="24"/>
        </w:rPr>
      </w:pPr>
      <w:r w:rsidRPr="00FD357D">
        <w:rPr>
          <w:rFonts w:ascii="Bookman Old Style" w:hAnsi="Bookman Old Style"/>
          <w:i/>
          <w:sz w:val="24"/>
          <w:szCs w:val="24"/>
        </w:rPr>
        <w:t>Rashodi za zaposlene</w:t>
      </w:r>
      <w:r w:rsidRPr="00A97D39">
        <w:rPr>
          <w:rFonts w:ascii="Bookman Old Style" w:hAnsi="Bookman Old Style"/>
          <w:sz w:val="24"/>
          <w:szCs w:val="24"/>
        </w:rPr>
        <w:t xml:space="preserve"> (skupina 31)</w:t>
      </w:r>
      <w:r w:rsidR="00A97D39">
        <w:rPr>
          <w:rFonts w:ascii="Bookman Old Style" w:hAnsi="Bookman Old Style"/>
          <w:sz w:val="24"/>
          <w:szCs w:val="24"/>
        </w:rPr>
        <w:t xml:space="preserve"> </w:t>
      </w:r>
      <w:r w:rsidR="00FD357D">
        <w:rPr>
          <w:rFonts w:ascii="Bookman Old Style" w:hAnsi="Bookman Old Style"/>
          <w:sz w:val="24"/>
          <w:szCs w:val="24"/>
        </w:rPr>
        <w:t>ostvareni su</w:t>
      </w:r>
      <w:r w:rsidR="00A97D39">
        <w:rPr>
          <w:rFonts w:ascii="Bookman Old Style" w:hAnsi="Bookman Old Style"/>
          <w:sz w:val="24"/>
          <w:szCs w:val="24"/>
        </w:rPr>
        <w:t xml:space="preserve"> u ukupnom iznosu od </w:t>
      </w:r>
      <w:r w:rsidR="00BC368A">
        <w:rPr>
          <w:rFonts w:ascii="Bookman Old Style" w:hAnsi="Bookman Old Style"/>
          <w:sz w:val="24"/>
          <w:szCs w:val="24"/>
        </w:rPr>
        <w:t>1.137.611</w:t>
      </w:r>
      <w:r w:rsidR="00A97D39">
        <w:rPr>
          <w:rFonts w:ascii="Bookman Old Style" w:hAnsi="Bookman Old Style"/>
          <w:sz w:val="24"/>
          <w:szCs w:val="24"/>
        </w:rPr>
        <w:t xml:space="preserve"> </w:t>
      </w:r>
      <w:r w:rsidR="00A97D39" w:rsidRPr="00A97D39">
        <w:rPr>
          <w:rFonts w:ascii="Bookman Old Style" w:hAnsi="Bookman Old Style"/>
          <w:sz w:val="24"/>
          <w:szCs w:val="24"/>
        </w:rPr>
        <w:t>€</w:t>
      </w:r>
      <w:r w:rsidR="005D67FD">
        <w:rPr>
          <w:rFonts w:ascii="Bookman Old Style" w:hAnsi="Bookman Old Style"/>
          <w:sz w:val="24"/>
          <w:szCs w:val="24"/>
        </w:rPr>
        <w:t xml:space="preserve"> što</w:t>
      </w:r>
      <w:r w:rsidR="00EA6CB8">
        <w:rPr>
          <w:rFonts w:ascii="Bookman Old Style" w:hAnsi="Bookman Old Style"/>
          <w:sz w:val="24"/>
          <w:szCs w:val="24"/>
        </w:rPr>
        <w:t xml:space="preserve"> je </w:t>
      </w:r>
      <w:r w:rsidR="00BC368A">
        <w:rPr>
          <w:rFonts w:ascii="Bookman Old Style" w:hAnsi="Bookman Old Style"/>
          <w:sz w:val="24"/>
          <w:szCs w:val="24"/>
        </w:rPr>
        <w:t>u odnosu na plan</w:t>
      </w:r>
      <w:r w:rsidR="00EA6CB8">
        <w:rPr>
          <w:rFonts w:ascii="Bookman Old Style" w:hAnsi="Bookman Old Style"/>
          <w:sz w:val="24"/>
          <w:szCs w:val="24"/>
        </w:rPr>
        <w:t xml:space="preserve"> </w:t>
      </w:r>
      <w:r w:rsidR="00BC368A">
        <w:rPr>
          <w:rFonts w:ascii="Bookman Old Style" w:hAnsi="Bookman Old Style"/>
          <w:sz w:val="24"/>
          <w:szCs w:val="24"/>
        </w:rPr>
        <w:t>98,95%</w:t>
      </w:r>
      <w:r w:rsidR="00EA6CB8">
        <w:rPr>
          <w:rFonts w:ascii="Bookman Old Style" w:hAnsi="Bookman Old Style"/>
          <w:sz w:val="24"/>
          <w:szCs w:val="24"/>
        </w:rPr>
        <w:t xml:space="preserve">. </w:t>
      </w:r>
      <w:r w:rsidR="00A97D39">
        <w:rPr>
          <w:rFonts w:ascii="Bookman Old Style" w:hAnsi="Bookman Old Style"/>
          <w:sz w:val="24"/>
          <w:szCs w:val="24"/>
        </w:rPr>
        <w:t xml:space="preserve"> Ova skupina rashoda obuhvaća bruto plaće zaposlenika, pomoćnika u nastavi, </w:t>
      </w:r>
      <w:r w:rsidRPr="00A97D39">
        <w:rPr>
          <w:rFonts w:ascii="Bookman Old Style" w:hAnsi="Bookman Old Style"/>
          <w:sz w:val="24"/>
          <w:szCs w:val="24"/>
        </w:rPr>
        <w:t xml:space="preserve">doprinose na plaće </w:t>
      </w:r>
      <w:r w:rsidR="00A97D39">
        <w:rPr>
          <w:rFonts w:ascii="Bookman Old Style" w:hAnsi="Bookman Old Style"/>
          <w:sz w:val="24"/>
          <w:szCs w:val="24"/>
        </w:rPr>
        <w:t xml:space="preserve">te </w:t>
      </w:r>
      <w:r w:rsidRPr="00A97D39">
        <w:rPr>
          <w:rFonts w:ascii="Bookman Old Style" w:hAnsi="Bookman Old Style"/>
          <w:sz w:val="24"/>
          <w:szCs w:val="24"/>
        </w:rPr>
        <w:t>ostale rashode za zaposlene</w:t>
      </w:r>
      <w:r w:rsidR="00EA6CB8">
        <w:rPr>
          <w:rFonts w:ascii="Bookman Old Style" w:hAnsi="Bookman Old Style"/>
          <w:sz w:val="24"/>
          <w:szCs w:val="24"/>
        </w:rPr>
        <w:t xml:space="preserve">, te u strukturi ukupnih rashoda čine najznačajniji udio od </w:t>
      </w:r>
      <w:r w:rsidR="00BC368A">
        <w:rPr>
          <w:rFonts w:ascii="Bookman Old Style" w:hAnsi="Bookman Old Style"/>
          <w:sz w:val="24"/>
          <w:szCs w:val="24"/>
        </w:rPr>
        <w:t>75,25</w:t>
      </w:r>
      <w:r w:rsidR="00EA6CB8">
        <w:rPr>
          <w:rFonts w:ascii="Bookman Old Style" w:hAnsi="Bookman Old Style"/>
          <w:sz w:val="24"/>
          <w:szCs w:val="24"/>
        </w:rPr>
        <w:t>%.</w:t>
      </w:r>
      <w:r w:rsidRPr="00A97D39">
        <w:rPr>
          <w:rFonts w:ascii="Bookman Old Style" w:hAnsi="Bookman Old Style"/>
          <w:sz w:val="24"/>
          <w:szCs w:val="24"/>
        </w:rPr>
        <w:t xml:space="preserve"> </w:t>
      </w:r>
      <w:r w:rsidR="0089425C">
        <w:rPr>
          <w:rFonts w:ascii="Bookman Old Style" w:hAnsi="Bookman Old Style"/>
          <w:sz w:val="24"/>
          <w:szCs w:val="24"/>
        </w:rPr>
        <w:t xml:space="preserve"> Do povećanja dolazi zbog povećanja osnovice zaposlenih u javnim službama prema Kolektivnom ugovoru i Sporazumu Vlade i Sindikata javnih službi te Sindikata učitelja.</w:t>
      </w:r>
    </w:p>
    <w:p w:rsidR="00226C1D" w:rsidRDefault="00B21E1D" w:rsidP="00A97D39">
      <w:pPr>
        <w:jc w:val="both"/>
        <w:rPr>
          <w:rFonts w:ascii="Bookman Old Style" w:hAnsi="Bookman Old Style"/>
          <w:sz w:val="24"/>
          <w:szCs w:val="24"/>
        </w:rPr>
      </w:pPr>
      <w:r w:rsidRPr="00EA6CB8">
        <w:rPr>
          <w:rFonts w:ascii="Bookman Old Style" w:hAnsi="Bookman Old Style"/>
          <w:i/>
          <w:sz w:val="24"/>
          <w:szCs w:val="24"/>
        </w:rPr>
        <w:lastRenderedPageBreak/>
        <w:t>Materijalni rashodi</w:t>
      </w:r>
      <w:r w:rsidRPr="009B59E2">
        <w:rPr>
          <w:rFonts w:ascii="Bookman Old Style" w:hAnsi="Bookman Old Style"/>
          <w:sz w:val="24"/>
          <w:szCs w:val="24"/>
        </w:rPr>
        <w:t xml:space="preserve"> (skupina 32)</w:t>
      </w:r>
      <w:r w:rsidR="00EA6CB8">
        <w:rPr>
          <w:rFonts w:ascii="Bookman Old Style" w:hAnsi="Bookman Old Style"/>
          <w:sz w:val="24"/>
          <w:szCs w:val="24"/>
        </w:rPr>
        <w:t xml:space="preserve"> u izvještajnom razdoblju ostvareni </w:t>
      </w:r>
      <w:r w:rsidRPr="009B59E2">
        <w:rPr>
          <w:rFonts w:ascii="Bookman Old Style" w:hAnsi="Bookman Old Style"/>
          <w:sz w:val="24"/>
          <w:szCs w:val="24"/>
        </w:rPr>
        <w:t xml:space="preserve">su u ukupnom iznosu od </w:t>
      </w:r>
      <w:r w:rsidR="00BC368A">
        <w:rPr>
          <w:rFonts w:ascii="Bookman Old Style" w:hAnsi="Bookman Old Style"/>
          <w:sz w:val="24"/>
          <w:szCs w:val="24"/>
        </w:rPr>
        <w:t>364.297</w:t>
      </w:r>
      <w:r w:rsidRPr="009B59E2">
        <w:rPr>
          <w:rFonts w:ascii="Bookman Old Style" w:hAnsi="Bookman Old Style"/>
          <w:sz w:val="24"/>
          <w:szCs w:val="24"/>
        </w:rPr>
        <w:t xml:space="preserve"> € </w:t>
      </w:r>
      <w:r w:rsidR="00EA6CB8">
        <w:rPr>
          <w:rFonts w:ascii="Bookman Old Style" w:hAnsi="Bookman Old Style"/>
          <w:sz w:val="24"/>
          <w:szCs w:val="24"/>
        </w:rPr>
        <w:t xml:space="preserve">, ili </w:t>
      </w:r>
      <w:r w:rsidR="00BC368A">
        <w:rPr>
          <w:rFonts w:ascii="Bookman Old Style" w:hAnsi="Bookman Old Style"/>
          <w:sz w:val="24"/>
          <w:szCs w:val="24"/>
        </w:rPr>
        <w:t>82,25</w:t>
      </w:r>
      <w:r w:rsidR="00EA6CB8">
        <w:rPr>
          <w:rFonts w:ascii="Bookman Old Style" w:hAnsi="Bookman Old Style"/>
          <w:sz w:val="24"/>
          <w:szCs w:val="24"/>
        </w:rPr>
        <w:t>%</w:t>
      </w:r>
      <w:r w:rsidR="00BC368A">
        <w:rPr>
          <w:rFonts w:ascii="Bookman Old Style" w:hAnsi="Bookman Old Style"/>
          <w:sz w:val="24"/>
          <w:szCs w:val="24"/>
        </w:rPr>
        <w:t xml:space="preserve"> u odnosu na plan</w:t>
      </w:r>
      <w:r w:rsidR="00EA6CB8">
        <w:rPr>
          <w:rFonts w:ascii="Bookman Old Style" w:hAnsi="Bookman Old Style"/>
          <w:sz w:val="24"/>
          <w:szCs w:val="24"/>
        </w:rPr>
        <w:t xml:space="preserve">. </w:t>
      </w:r>
      <w:r w:rsidR="00A97D39" w:rsidRPr="009B59E2">
        <w:rPr>
          <w:rFonts w:ascii="Bookman Old Style" w:hAnsi="Bookman Old Style"/>
          <w:sz w:val="24"/>
          <w:szCs w:val="24"/>
        </w:rPr>
        <w:t>U ov</w:t>
      </w:r>
      <w:r w:rsidR="00EA6CB8">
        <w:rPr>
          <w:rFonts w:ascii="Bookman Old Style" w:hAnsi="Bookman Old Style"/>
          <w:sz w:val="24"/>
          <w:szCs w:val="24"/>
        </w:rPr>
        <w:t>u</w:t>
      </w:r>
      <w:r w:rsidR="00A97D39" w:rsidRPr="009B59E2">
        <w:rPr>
          <w:rFonts w:ascii="Bookman Old Style" w:hAnsi="Bookman Old Style"/>
          <w:sz w:val="24"/>
          <w:szCs w:val="24"/>
        </w:rPr>
        <w:t xml:space="preserve"> skupin</w:t>
      </w:r>
      <w:r w:rsidR="00EA6CB8">
        <w:rPr>
          <w:rFonts w:ascii="Bookman Old Style" w:hAnsi="Bookman Old Style"/>
          <w:sz w:val="24"/>
          <w:szCs w:val="24"/>
        </w:rPr>
        <w:t>u</w:t>
      </w:r>
      <w:r w:rsidR="00A97D39" w:rsidRPr="009B59E2">
        <w:rPr>
          <w:rFonts w:ascii="Bookman Old Style" w:hAnsi="Bookman Old Style"/>
          <w:sz w:val="24"/>
          <w:szCs w:val="24"/>
        </w:rPr>
        <w:t xml:space="preserve"> rashoda </w:t>
      </w:r>
      <w:r w:rsidR="00EA6CB8">
        <w:rPr>
          <w:rFonts w:ascii="Bookman Old Style" w:hAnsi="Bookman Old Style"/>
          <w:sz w:val="24"/>
          <w:szCs w:val="24"/>
        </w:rPr>
        <w:t>pripadaju</w:t>
      </w:r>
      <w:r w:rsidR="00471813" w:rsidRPr="009B59E2">
        <w:rPr>
          <w:rFonts w:ascii="Bookman Old Style" w:hAnsi="Bookman Old Style"/>
          <w:sz w:val="24"/>
          <w:szCs w:val="24"/>
        </w:rPr>
        <w:t xml:space="preserve"> rashodi za potrebe redovnog poslovanja (nabava uredskog materijala, službena putovanja, stručno usavršavanje zaposlenika, energiju, materijal, sitni inventar, službena odjeća i obuća, usluge tekućeg održavanj</w:t>
      </w:r>
      <w:r w:rsidR="009B59E2">
        <w:rPr>
          <w:rFonts w:ascii="Bookman Old Style" w:hAnsi="Bookman Old Style"/>
          <w:sz w:val="24"/>
          <w:szCs w:val="24"/>
        </w:rPr>
        <w:t>a</w:t>
      </w:r>
      <w:r w:rsidR="00471813" w:rsidRPr="009B59E2">
        <w:rPr>
          <w:rFonts w:ascii="Bookman Old Style" w:hAnsi="Bookman Old Style"/>
          <w:sz w:val="24"/>
          <w:szCs w:val="24"/>
        </w:rPr>
        <w:t>,</w:t>
      </w:r>
      <w:r w:rsidR="009B59E2">
        <w:rPr>
          <w:rFonts w:ascii="Bookman Old Style" w:hAnsi="Bookman Old Style"/>
          <w:sz w:val="24"/>
          <w:szCs w:val="24"/>
        </w:rPr>
        <w:t xml:space="preserve"> </w:t>
      </w:r>
      <w:r w:rsidR="00471813" w:rsidRPr="009B59E2">
        <w:rPr>
          <w:rFonts w:ascii="Bookman Old Style" w:hAnsi="Bookman Old Style"/>
          <w:sz w:val="24"/>
          <w:szCs w:val="24"/>
        </w:rPr>
        <w:t>komunalne usluge, najam sportske dvorane, najam fotokopirnog aparata,  namirnice za školsku kuhinju,</w:t>
      </w:r>
      <w:r w:rsidR="0012480E">
        <w:rPr>
          <w:rFonts w:ascii="Bookman Old Style" w:hAnsi="Bookman Old Style"/>
          <w:sz w:val="24"/>
          <w:szCs w:val="24"/>
        </w:rPr>
        <w:t xml:space="preserve"> školska shema,</w:t>
      </w:r>
      <w:r w:rsidR="00471813" w:rsidRPr="009B59E2">
        <w:rPr>
          <w:rFonts w:ascii="Bookman Old Style" w:hAnsi="Bookman Old Style"/>
          <w:sz w:val="24"/>
          <w:szCs w:val="24"/>
        </w:rPr>
        <w:t xml:space="preserve"> rashode za usluge telefona, pošte i prijevoza, zdravstvene usluge, računalne usluge i ostale usluge,</w:t>
      </w:r>
      <w:r w:rsidR="009B59E2">
        <w:rPr>
          <w:rFonts w:ascii="Bookman Old Style" w:hAnsi="Bookman Old Style"/>
          <w:sz w:val="24"/>
          <w:szCs w:val="24"/>
        </w:rPr>
        <w:t xml:space="preserve"> financiranje izvannastavnih akt</w:t>
      </w:r>
      <w:r w:rsidR="0012480E">
        <w:rPr>
          <w:rFonts w:ascii="Bookman Old Style" w:hAnsi="Bookman Old Style"/>
          <w:sz w:val="24"/>
          <w:szCs w:val="24"/>
        </w:rPr>
        <w:t>ivnosti,</w:t>
      </w:r>
      <w:r w:rsidR="00471813" w:rsidRPr="009B59E2">
        <w:rPr>
          <w:rFonts w:ascii="Bookman Old Style" w:hAnsi="Bookman Old Style"/>
          <w:sz w:val="24"/>
          <w:szCs w:val="24"/>
        </w:rPr>
        <w:t xml:space="preserve"> intelektualne usluge, premije osiguranja, reprezentacije, članarine, pristojbe i naknade, naknade za rad školskog odbora, troškova sudskih postupaka te ostali nespomenuti rashodi). </w:t>
      </w:r>
    </w:p>
    <w:p w:rsidR="00BE23FA" w:rsidRDefault="00BE23FA" w:rsidP="004272FD">
      <w:pPr>
        <w:pStyle w:val="Odlomakpopisa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E44275">
        <w:rPr>
          <w:rFonts w:ascii="Bookman Old Style" w:hAnsi="Bookman Old Style"/>
          <w:sz w:val="24"/>
          <w:szCs w:val="24"/>
        </w:rPr>
        <w:t xml:space="preserve">Naknade troškove zaposlenima (podskupina 321) ostvarene su u iznosu od </w:t>
      </w:r>
      <w:r w:rsidR="00BC368A">
        <w:rPr>
          <w:rFonts w:ascii="Bookman Old Style" w:hAnsi="Bookman Old Style"/>
          <w:sz w:val="24"/>
          <w:szCs w:val="24"/>
        </w:rPr>
        <w:t>73.203</w:t>
      </w:r>
      <w:r w:rsidRPr="00E44275">
        <w:rPr>
          <w:rFonts w:ascii="Bookman Old Style" w:hAnsi="Bookman Old Style"/>
          <w:sz w:val="24"/>
          <w:szCs w:val="24"/>
        </w:rPr>
        <w:t xml:space="preserve"> € </w:t>
      </w:r>
      <w:r w:rsidR="000C331D" w:rsidRPr="00E44275">
        <w:rPr>
          <w:rFonts w:ascii="Bookman Old Style" w:hAnsi="Bookman Old Style"/>
          <w:sz w:val="24"/>
          <w:szCs w:val="24"/>
        </w:rPr>
        <w:t xml:space="preserve">ili </w:t>
      </w:r>
      <w:r w:rsidR="00BC368A">
        <w:rPr>
          <w:rFonts w:ascii="Bookman Old Style" w:hAnsi="Bookman Old Style"/>
          <w:sz w:val="24"/>
          <w:szCs w:val="24"/>
        </w:rPr>
        <w:t>99,69</w:t>
      </w:r>
      <w:r w:rsidR="00E44275" w:rsidRPr="00E44275">
        <w:rPr>
          <w:rFonts w:ascii="Bookman Old Style" w:hAnsi="Bookman Old Style"/>
          <w:sz w:val="24"/>
          <w:szCs w:val="24"/>
        </w:rPr>
        <w:t xml:space="preserve">%. Najznačajniji rashodi u okviru ove podskupine odnose se na  naknadu za prijevoz na posao i s posla u iznosu od </w:t>
      </w:r>
      <w:r w:rsidR="00BC368A">
        <w:rPr>
          <w:rFonts w:ascii="Bookman Old Style" w:hAnsi="Bookman Old Style"/>
          <w:sz w:val="24"/>
          <w:szCs w:val="24"/>
        </w:rPr>
        <w:t>61.309</w:t>
      </w:r>
      <w:r w:rsidR="00E44275" w:rsidRPr="00E44275">
        <w:rPr>
          <w:rFonts w:ascii="Bookman Old Style" w:hAnsi="Bookman Old Style"/>
          <w:sz w:val="24"/>
          <w:szCs w:val="24"/>
        </w:rPr>
        <w:t xml:space="preserve"> € tj. </w:t>
      </w:r>
      <w:r w:rsidR="00BC368A">
        <w:rPr>
          <w:rFonts w:ascii="Bookman Old Style" w:hAnsi="Bookman Old Style"/>
          <w:sz w:val="24"/>
          <w:szCs w:val="24"/>
        </w:rPr>
        <w:t>105</w:t>
      </w:r>
      <w:r w:rsidR="00E44275" w:rsidRPr="00E44275">
        <w:rPr>
          <w:rFonts w:ascii="Bookman Old Style" w:hAnsi="Bookman Old Style"/>
          <w:sz w:val="24"/>
          <w:szCs w:val="24"/>
        </w:rPr>
        <w:t>%</w:t>
      </w:r>
      <w:r w:rsidR="00BC368A">
        <w:rPr>
          <w:rFonts w:ascii="Bookman Old Style" w:hAnsi="Bookman Old Style"/>
          <w:sz w:val="24"/>
          <w:szCs w:val="24"/>
        </w:rPr>
        <w:t xml:space="preserve"> u odnosu na plan zbog zamjena djelatnika na bolovanju</w:t>
      </w:r>
      <w:r w:rsidR="00E44275" w:rsidRPr="00E44275">
        <w:rPr>
          <w:rFonts w:ascii="Bookman Old Style" w:hAnsi="Bookman Old Style"/>
          <w:sz w:val="24"/>
          <w:szCs w:val="24"/>
        </w:rPr>
        <w:t xml:space="preserve">. </w:t>
      </w:r>
    </w:p>
    <w:p w:rsidR="00BE23FA" w:rsidRPr="00C2786B" w:rsidRDefault="00E44275" w:rsidP="004272FD">
      <w:pPr>
        <w:pStyle w:val="Odlomakpopisa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Rashodi za materijal i energiju </w:t>
      </w:r>
      <w:r w:rsidR="002B5E8C">
        <w:rPr>
          <w:rFonts w:ascii="Bookman Old Style" w:hAnsi="Bookman Old Style"/>
          <w:sz w:val="24"/>
          <w:szCs w:val="24"/>
        </w:rPr>
        <w:t xml:space="preserve"> izvršeni su u iznosu od </w:t>
      </w:r>
      <w:r w:rsidR="00BC368A">
        <w:rPr>
          <w:rFonts w:ascii="Bookman Old Style" w:hAnsi="Bookman Old Style"/>
          <w:sz w:val="24"/>
          <w:szCs w:val="24"/>
        </w:rPr>
        <w:t>212.804</w:t>
      </w:r>
      <w:r w:rsidR="002B5E8C">
        <w:rPr>
          <w:rFonts w:ascii="Bookman Old Style" w:hAnsi="Bookman Old Style"/>
          <w:sz w:val="24"/>
          <w:szCs w:val="24"/>
        </w:rPr>
        <w:t xml:space="preserve"> odnosno </w:t>
      </w:r>
      <w:r w:rsidR="00BC368A">
        <w:rPr>
          <w:rFonts w:ascii="Bookman Old Style" w:hAnsi="Bookman Old Style"/>
          <w:sz w:val="24"/>
          <w:szCs w:val="24"/>
        </w:rPr>
        <w:t>77,81% planiranih sredstava.</w:t>
      </w:r>
      <w:r w:rsidR="0089425C">
        <w:rPr>
          <w:rFonts w:ascii="Bookman Old Style" w:hAnsi="Bookman Old Style"/>
          <w:sz w:val="24"/>
          <w:szCs w:val="24"/>
        </w:rPr>
        <w:t xml:space="preserve"> </w:t>
      </w:r>
      <w:r w:rsidR="002B5E8C">
        <w:rPr>
          <w:rFonts w:ascii="Bookman Old Style" w:hAnsi="Bookman Old Style"/>
          <w:sz w:val="24"/>
          <w:szCs w:val="24"/>
        </w:rPr>
        <w:t xml:space="preserve">Odnose se na uredski materijal i ostale materijalne rashode, rashode za energiju, komunalne usluge , službenu i radnu odjeću. Najznačajniji rashode u podskupini odnose se na materijal i sirovine odnosno prehranu za školsku kuhinju koji su ostvareni u iznosu od </w:t>
      </w:r>
      <w:r w:rsidR="00BC368A">
        <w:rPr>
          <w:rFonts w:ascii="Bookman Old Style" w:hAnsi="Bookman Old Style"/>
          <w:sz w:val="24"/>
          <w:szCs w:val="24"/>
        </w:rPr>
        <w:t>149.050</w:t>
      </w:r>
      <w:r w:rsidR="002B5E8C">
        <w:rPr>
          <w:rFonts w:ascii="Bookman Old Style" w:hAnsi="Bookman Old Style"/>
          <w:sz w:val="24"/>
          <w:szCs w:val="24"/>
        </w:rPr>
        <w:t xml:space="preserve"> € ili </w:t>
      </w:r>
      <w:r w:rsidR="00BC368A">
        <w:rPr>
          <w:rFonts w:ascii="Bookman Old Style" w:hAnsi="Bookman Old Style"/>
          <w:sz w:val="24"/>
          <w:szCs w:val="24"/>
        </w:rPr>
        <w:t>80,31</w:t>
      </w:r>
      <w:r w:rsidR="002B5E8C">
        <w:rPr>
          <w:rFonts w:ascii="Bookman Old Style" w:hAnsi="Bookman Old Style"/>
          <w:sz w:val="24"/>
          <w:szCs w:val="24"/>
        </w:rPr>
        <w:t xml:space="preserve">% </w:t>
      </w:r>
      <w:r w:rsidR="00BC368A">
        <w:rPr>
          <w:rFonts w:ascii="Bookman Old Style" w:hAnsi="Bookman Old Style"/>
          <w:sz w:val="24"/>
          <w:szCs w:val="24"/>
        </w:rPr>
        <w:t>u odnosu na plan</w:t>
      </w:r>
      <w:r w:rsidR="0089425C">
        <w:rPr>
          <w:rFonts w:ascii="Bookman Old Style" w:hAnsi="Bookman Old Style"/>
          <w:sz w:val="24"/>
          <w:szCs w:val="24"/>
        </w:rPr>
        <w:t>, zbog povećanja potrošnje jer je školska kuhinja besplatna pa se povećao broj korisnika.</w:t>
      </w:r>
    </w:p>
    <w:p w:rsidR="00306865" w:rsidRPr="00D34F9C" w:rsidRDefault="00226C1D" w:rsidP="00A91502">
      <w:pPr>
        <w:pStyle w:val="Odlomakpopisa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D34F9C">
        <w:rPr>
          <w:rFonts w:ascii="Bookman Old Style" w:hAnsi="Bookman Old Style"/>
          <w:sz w:val="24"/>
          <w:szCs w:val="24"/>
        </w:rPr>
        <w:t>udio rashoda u strukturi materijalnih rashoda</w:t>
      </w:r>
      <w:r w:rsidR="00801C2D" w:rsidRPr="00D34F9C">
        <w:rPr>
          <w:rFonts w:ascii="Bookman Old Style" w:hAnsi="Bookman Old Style"/>
          <w:sz w:val="24"/>
          <w:szCs w:val="24"/>
        </w:rPr>
        <w:t xml:space="preserve"> (</w:t>
      </w:r>
      <w:r w:rsidR="00306865" w:rsidRPr="00D34F9C">
        <w:rPr>
          <w:rFonts w:ascii="Bookman Old Style" w:hAnsi="Bookman Old Style"/>
          <w:sz w:val="24"/>
          <w:szCs w:val="24"/>
        </w:rPr>
        <w:t xml:space="preserve">što je ukupno </w:t>
      </w:r>
      <w:r w:rsidR="00D34F9C" w:rsidRPr="00D34F9C">
        <w:rPr>
          <w:rFonts w:ascii="Bookman Old Style" w:hAnsi="Bookman Old Style"/>
          <w:sz w:val="24"/>
          <w:szCs w:val="24"/>
        </w:rPr>
        <w:t>21,49</w:t>
      </w:r>
      <w:r w:rsidR="00E95789" w:rsidRPr="00D34F9C">
        <w:rPr>
          <w:rFonts w:ascii="Bookman Old Style" w:hAnsi="Bookman Old Style"/>
          <w:sz w:val="24"/>
          <w:szCs w:val="24"/>
        </w:rPr>
        <w:t>%</w:t>
      </w:r>
      <w:r w:rsidR="00306865" w:rsidRPr="00D34F9C">
        <w:rPr>
          <w:rFonts w:ascii="Bookman Old Style" w:hAnsi="Bookman Old Style"/>
          <w:sz w:val="24"/>
          <w:szCs w:val="24"/>
        </w:rPr>
        <w:t xml:space="preserve"> svih materijalnih rashoda</w:t>
      </w:r>
      <w:r w:rsidR="00E95789" w:rsidRPr="00D34F9C">
        <w:rPr>
          <w:rFonts w:ascii="Bookman Old Style" w:hAnsi="Bookman Old Style"/>
          <w:sz w:val="24"/>
          <w:szCs w:val="24"/>
        </w:rPr>
        <w:t>)</w:t>
      </w:r>
      <w:r w:rsidRPr="00D34F9C">
        <w:rPr>
          <w:rFonts w:ascii="Bookman Old Style" w:hAnsi="Bookman Old Style"/>
          <w:sz w:val="24"/>
          <w:szCs w:val="24"/>
        </w:rPr>
        <w:t xml:space="preserve"> odnosi se </w:t>
      </w:r>
      <w:r w:rsidR="00E273C2" w:rsidRPr="00D34F9C">
        <w:rPr>
          <w:rFonts w:ascii="Bookman Old Style" w:hAnsi="Bookman Old Style"/>
          <w:sz w:val="24"/>
          <w:szCs w:val="24"/>
        </w:rPr>
        <w:t xml:space="preserve">rashode </w:t>
      </w:r>
      <w:r w:rsidR="000B31DB" w:rsidRPr="00D34F9C">
        <w:rPr>
          <w:rFonts w:ascii="Bookman Old Style" w:hAnsi="Bookman Old Style"/>
          <w:sz w:val="24"/>
          <w:szCs w:val="24"/>
        </w:rPr>
        <w:t xml:space="preserve">usluge </w:t>
      </w:r>
      <w:r w:rsidR="00756FAB" w:rsidRPr="00D34F9C">
        <w:rPr>
          <w:rFonts w:ascii="Bookman Old Style" w:hAnsi="Bookman Old Style"/>
          <w:sz w:val="24"/>
          <w:szCs w:val="24"/>
        </w:rPr>
        <w:t xml:space="preserve">koji su ostvareni u iznosu od </w:t>
      </w:r>
      <w:r w:rsidR="00D34F9C" w:rsidRPr="00D34F9C">
        <w:rPr>
          <w:rFonts w:ascii="Bookman Old Style" w:hAnsi="Bookman Old Style"/>
          <w:sz w:val="24"/>
          <w:szCs w:val="24"/>
        </w:rPr>
        <w:t>78.290</w:t>
      </w:r>
      <w:r w:rsidR="003A2231" w:rsidRPr="00D34F9C">
        <w:rPr>
          <w:rFonts w:ascii="Bookman Old Style" w:hAnsi="Bookman Old Style"/>
          <w:sz w:val="24"/>
          <w:szCs w:val="24"/>
        </w:rPr>
        <w:t xml:space="preserve"> €</w:t>
      </w:r>
      <w:r w:rsidR="00756FAB" w:rsidRPr="00D34F9C">
        <w:rPr>
          <w:rFonts w:ascii="Bookman Old Style" w:hAnsi="Bookman Old Style"/>
          <w:sz w:val="24"/>
          <w:szCs w:val="24"/>
        </w:rPr>
        <w:t xml:space="preserve"> ili </w:t>
      </w:r>
      <w:r w:rsidR="00D34F9C" w:rsidRPr="00D34F9C">
        <w:rPr>
          <w:rFonts w:ascii="Bookman Old Style" w:hAnsi="Bookman Old Style"/>
          <w:sz w:val="24"/>
          <w:szCs w:val="24"/>
        </w:rPr>
        <w:t>81,56% u odnosu na plan</w:t>
      </w:r>
      <w:r w:rsidR="00756FAB" w:rsidRPr="00D34F9C">
        <w:rPr>
          <w:rFonts w:ascii="Bookman Old Style" w:hAnsi="Bookman Old Style"/>
          <w:sz w:val="24"/>
          <w:szCs w:val="24"/>
        </w:rPr>
        <w:t xml:space="preserve">. Najvećim djelom </w:t>
      </w:r>
      <w:r w:rsidR="00CF1BE7" w:rsidRPr="00D34F9C">
        <w:rPr>
          <w:rFonts w:ascii="Bookman Old Style" w:hAnsi="Bookman Old Style"/>
          <w:sz w:val="24"/>
          <w:szCs w:val="24"/>
        </w:rPr>
        <w:t>odnose se na</w:t>
      </w:r>
      <w:r w:rsidRPr="00D34F9C">
        <w:rPr>
          <w:rFonts w:ascii="Bookman Old Style" w:hAnsi="Bookman Old Style"/>
          <w:sz w:val="24"/>
          <w:szCs w:val="24"/>
        </w:rPr>
        <w:t xml:space="preserve"> </w:t>
      </w:r>
      <w:r w:rsidR="000933F5" w:rsidRPr="00D34F9C">
        <w:rPr>
          <w:rFonts w:ascii="Bookman Old Style" w:hAnsi="Bookman Old Style"/>
          <w:sz w:val="24"/>
          <w:szCs w:val="24"/>
        </w:rPr>
        <w:t xml:space="preserve">usluge </w:t>
      </w:r>
      <w:r w:rsidR="00CF1BE7" w:rsidRPr="00D34F9C">
        <w:rPr>
          <w:rFonts w:ascii="Bookman Old Style" w:hAnsi="Bookman Old Style"/>
          <w:sz w:val="24"/>
          <w:szCs w:val="24"/>
        </w:rPr>
        <w:t xml:space="preserve">telefona, pošte i prijevoza sa izvršenjem od </w:t>
      </w:r>
      <w:r w:rsidR="00D34F9C" w:rsidRPr="00D34F9C">
        <w:rPr>
          <w:rFonts w:ascii="Bookman Old Style" w:hAnsi="Bookman Old Style"/>
          <w:sz w:val="24"/>
          <w:szCs w:val="24"/>
        </w:rPr>
        <w:t>87,44</w:t>
      </w:r>
      <w:r w:rsidR="00CF1BE7" w:rsidRPr="00D34F9C">
        <w:rPr>
          <w:rFonts w:ascii="Bookman Old Style" w:hAnsi="Bookman Old Style"/>
          <w:sz w:val="24"/>
          <w:szCs w:val="24"/>
        </w:rPr>
        <w:t>%</w:t>
      </w:r>
      <w:r w:rsidR="00C2786B" w:rsidRPr="00D34F9C">
        <w:rPr>
          <w:rFonts w:ascii="Bookman Old Style" w:hAnsi="Bookman Old Style"/>
          <w:sz w:val="24"/>
          <w:szCs w:val="24"/>
        </w:rPr>
        <w:t xml:space="preserve">,  zatim usluge tekućeg i investicijskog održavanja sa </w:t>
      </w:r>
      <w:r w:rsidR="00D34F9C" w:rsidRPr="00D34F9C">
        <w:rPr>
          <w:rFonts w:ascii="Bookman Old Style" w:hAnsi="Bookman Old Style"/>
          <w:sz w:val="24"/>
          <w:szCs w:val="24"/>
        </w:rPr>
        <w:t>96,07</w:t>
      </w:r>
      <w:r w:rsidR="00C2786B" w:rsidRPr="00D34F9C">
        <w:rPr>
          <w:rFonts w:ascii="Bookman Old Style" w:hAnsi="Bookman Old Style"/>
          <w:sz w:val="24"/>
          <w:szCs w:val="24"/>
        </w:rPr>
        <w:t xml:space="preserve">%, zakupnine i najamnine sa </w:t>
      </w:r>
      <w:r w:rsidR="00D34F9C" w:rsidRPr="00D34F9C">
        <w:rPr>
          <w:rFonts w:ascii="Bookman Old Style" w:hAnsi="Bookman Old Style"/>
          <w:sz w:val="24"/>
          <w:szCs w:val="24"/>
        </w:rPr>
        <w:t>94,58</w:t>
      </w:r>
      <w:r w:rsidR="00C2786B" w:rsidRPr="00D34F9C">
        <w:rPr>
          <w:rFonts w:ascii="Bookman Old Style" w:hAnsi="Bookman Old Style"/>
          <w:sz w:val="24"/>
          <w:szCs w:val="24"/>
        </w:rPr>
        <w:t xml:space="preserve">%, intelektualne i osobne usluge sa </w:t>
      </w:r>
      <w:r w:rsidR="00D34F9C" w:rsidRPr="00D34F9C">
        <w:rPr>
          <w:rFonts w:ascii="Bookman Old Style" w:hAnsi="Bookman Old Style"/>
          <w:sz w:val="24"/>
          <w:szCs w:val="24"/>
        </w:rPr>
        <w:t>68,63</w:t>
      </w:r>
      <w:r w:rsidR="00C2786B" w:rsidRPr="00D34F9C">
        <w:rPr>
          <w:rFonts w:ascii="Bookman Old Style" w:hAnsi="Bookman Old Style"/>
          <w:sz w:val="24"/>
          <w:szCs w:val="24"/>
        </w:rPr>
        <w:t xml:space="preserve">%, računalne usluge sa </w:t>
      </w:r>
      <w:r w:rsidR="00D34F9C" w:rsidRPr="00D34F9C">
        <w:rPr>
          <w:rFonts w:ascii="Bookman Old Style" w:hAnsi="Bookman Old Style"/>
          <w:sz w:val="24"/>
          <w:szCs w:val="24"/>
        </w:rPr>
        <w:t>102,71</w:t>
      </w:r>
      <w:r w:rsidR="00C2786B" w:rsidRPr="00D34F9C">
        <w:rPr>
          <w:rFonts w:ascii="Bookman Old Style" w:hAnsi="Bookman Old Style"/>
          <w:sz w:val="24"/>
          <w:szCs w:val="24"/>
        </w:rPr>
        <w:t xml:space="preserve">%, komunalne usluge sa </w:t>
      </w:r>
      <w:r w:rsidR="00D34F9C" w:rsidRPr="00D34F9C">
        <w:rPr>
          <w:rFonts w:ascii="Bookman Old Style" w:hAnsi="Bookman Old Style"/>
          <w:sz w:val="24"/>
          <w:szCs w:val="24"/>
        </w:rPr>
        <w:t>130,97</w:t>
      </w:r>
      <w:r w:rsidR="00C2786B" w:rsidRPr="00D34F9C">
        <w:rPr>
          <w:rFonts w:ascii="Bookman Old Style" w:hAnsi="Bookman Old Style"/>
          <w:sz w:val="24"/>
          <w:szCs w:val="24"/>
        </w:rPr>
        <w:t xml:space="preserve">%, zdravstvene usluge sa </w:t>
      </w:r>
      <w:r w:rsidR="00D34F9C" w:rsidRPr="00D34F9C">
        <w:rPr>
          <w:rFonts w:ascii="Bookman Old Style" w:hAnsi="Bookman Old Style"/>
          <w:sz w:val="24"/>
          <w:szCs w:val="24"/>
        </w:rPr>
        <w:t>59,39%. Fi</w:t>
      </w:r>
      <w:r w:rsidR="00471813" w:rsidRPr="00D34F9C">
        <w:rPr>
          <w:rFonts w:ascii="Bookman Old Style" w:hAnsi="Bookman Old Style"/>
          <w:sz w:val="24"/>
          <w:szCs w:val="24"/>
        </w:rPr>
        <w:t xml:space="preserve">nanciranju se </w:t>
      </w:r>
      <w:r w:rsidR="009B59E2" w:rsidRPr="00D34F9C">
        <w:rPr>
          <w:rFonts w:ascii="Bookman Old Style" w:hAnsi="Bookman Old Style"/>
          <w:sz w:val="24"/>
          <w:szCs w:val="24"/>
        </w:rPr>
        <w:t xml:space="preserve">najvećim dijelom </w:t>
      </w:r>
      <w:r w:rsidR="00471813" w:rsidRPr="00D34F9C">
        <w:rPr>
          <w:rFonts w:ascii="Bookman Old Style" w:hAnsi="Bookman Old Style"/>
          <w:sz w:val="24"/>
          <w:szCs w:val="24"/>
        </w:rPr>
        <w:t>i</w:t>
      </w:r>
      <w:r w:rsidR="009B59E2" w:rsidRPr="00D34F9C">
        <w:rPr>
          <w:rFonts w:ascii="Bookman Old Style" w:hAnsi="Bookman Old Style"/>
          <w:sz w:val="24"/>
          <w:szCs w:val="24"/>
        </w:rPr>
        <w:t>z gradskog proračuna. Rashodi školske kuhinje financiraju se zbog promijene načina</w:t>
      </w:r>
      <w:r w:rsidR="00694E42" w:rsidRPr="00D34F9C">
        <w:rPr>
          <w:rFonts w:ascii="Bookman Old Style" w:hAnsi="Bookman Old Style"/>
          <w:sz w:val="24"/>
          <w:szCs w:val="24"/>
        </w:rPr>
        <w:t xml:space="preserve"> </w:t>
      </w:r>
      <w:r w:rsidR="006F09BD" w:rsidRPr="00D34F9C">
        <w:rPr>
          <w:rFonts w:ascii="Bookman Old Style" w:hAnsi="Bookman Old Style"/>
          <w:sz w:val="24"/>
          <w:szCs w:val="24"/>
        </w:rPr>
        <w:t>financiranja</w:t>
      </w:r>
      <w:r w:rsidR="009B59E2" w:rsidRPr="00D34F9C">
        <w:rPr>
          <w:rFonts w:ascii="Bookman Old Style" w:hAnsi="Bookman Old Style"/>
          <w:sz w:val="24"/>
          <w:szCs w:val="24"/>
        </w:rPr>
        <w:t xml:space="preserve"> iz državnog pr</w:t>
      </w:r>
      <w:r w:rsidR="000933F5" w:rsidRPr="00D34F9C">
        <w:rPr>
          <w:rFonts w:ascii="Bookman Old Style" w:hAnsi="Bookman Old Style"/>
          <w:sz w:val="24"/>
          <w:szCs w:val="24"/>
        </w:rPr>
        <w:t>o</w:t>
      </w:r>
      <w:r w:rsidR="009B59E2" w:rsidRPr="00D34F9C">
        <w:rPr>
          <w:rFonts w:ascii="Bookman Old Style" w:hAnsi="Bookman Old Style"/>
          <w:sz w:val="24"/>
          <w:szCs w:val="24"/>
        </w:rPr>
        <w:t>računa a manji dio iz gradskog proračuna</w:t>
      </w:r>
      <w:r w:rsidR="0012480E" w:rsidRPr="00D34F9C">
        <w:rPr>
          <w:rFonts w:ascii="Bookman Old Style" w:hAnsi="Bookman Old Style"/>
          <w:sz w:val="24"/>
          <w:szCs w:val="24"/>
        </w:rPr>
        <w:t xml:space="preserve"> (</w:t>
      </w:r>
      <w:r w:rsidR="00CA0F27" w:rsidRPr="00D34F9C">
        <w:rPr>
          <w:rFonts w:ascii="Bookman Old Style" w:hAnsi="Bookman Old Style"/>
          <w:sz w:val="24"/>
          <w:szCs w:val="24"/>
        </w:rPr>
        <w:t>za razliku cijene do punog iznosa prehrane-</w:t>
      </w:r>
      <w:r w:rsidR="0012480E" w:rsidRPr="00D34F9C">
        <w:rPr>
          <w:rFonts w:ascii="Bookman Old Style" w:hAnsi="Bookman Old Style"/>
          <w:sz w:val="24"/>
          <w:szCs w:val="24"/>
        </w:rPr>
        <w:t xml:space="preserve">temeljem </w:t>
      </w:r>
      <w:r w:rsidR="00A157EA" w:rsidRPr="00D34F9C">
        <w:rPr>
          <w:rFonts w:ascii="Bookman Old Style" w:hAnsi="Bookman Old Style"/>
          <w:sz w:val="24"/>
          <w:szCs w:val="24"/>
        </w:rPr>
        <w:t>P</w:t>
      </w:r>
      <w:r w:rsidR="0012480E" w:rsidRPr="00D34F9C">
        <w:rPr>
          <w:rFonts w:ascii="Bookman Old Style" w:hAnsi="Bookman Old Style"/>
          <w:sz w:val="24"/>
          <w:szCs w:val="24"/>
        </w:rPr>
        <w:t>ravilnika o širim javnim potrebama Grada Samobora)</w:t>
      </w:r>
      <w:r w:rsidR="009B59E2" w:rsidRPr="00D34F9C">
        <w:rPr>
          <w:rFonts w:ascii="Bookman Old Style" w:hAnsi="Bookman Old Style"/>
          <w:sz w:val="24"/>
          <w:szCs w:val="24"/>
        </w:rPr>
        <w:t>. Prijevoz zaposlenika s posao i na posao, te nabava nastavnih sredstava, pomagala i prehrane</w:t>
      </w:r>
      <w:r w:rsidR="00D34F9C" w:rsidRPr="00D34F9C">
        <w:rPr>
          <w:rFonts w:ascii="Bookman Old Style" w:hAnsi="Bookman Old Style"/>
          <w:sz w:val="24"/>
          <w:szCs w:val="24"/>
        </w:rPr>
        <w:t>.</w:t>
      </w:r>
      <w:r w:rsidR="009B59E2" w:rsidRPr="00D34F9C">
        <w:rPr>
          <w:rFonts w:ascii="Bookman Old Style" w:hAnsi="Bookman Old Style"/>
          <w:sz w:val="24"/>
          <w:szCs w:val="24"/>
        </w:rPr>
        <w:t xml:space="preserve"> </w:t>
      </w:r>
      <w:r w:rsidR="00306865" w:rsidRPr="00D34F9C">
        <w:rPr>
          <w:rFonts w:ascii="Bookman Old Style" w:hAnsi="Bookman Old Style"/>
          <w:sz w:val="24"/>
          <w:szCs w:val="24"/>
        </w:rPr>
        <w:t xml:space="preserve">Ostali nespomenuti rashodi poslovanja (podskupina 329) ostvareni su u iznosu od </w:t>
      </w:r>
      <w:r w:rsidR="00D34F9C">
        <w:rPr>
          <w:rFonts w:ascii="Bookman Old Style" w:hAnsi="Bookman Old Style"/>
          <w:sz w:val="24"/>
          <w:szCs w:val="24"/>
        </w:rPr>
        <w:t>6.820</w:t>
      </w:r>
      <w:r w:rsidR="00306865" w:rsidRPr="00D34F9C">
        <w:rPr>
          <w:rFonts w:ascii="Bookman Old Style" w:hAnsi="Bookman Old Style"/>
          <w:sz w:val="24"/>
          <w:szCs w:val="24"/>
        </w:rPr>
        <w:t xml:space="preserve"> €</w:t>
      </w:r>
      <w:r w:rsidR="003A2231" w:rsidRPr="00D34F9C">
        <w:rPr>
          <w:rFonts w:ascii="Bookman Old Style" w:hAnsi="Bookman Old Style"/>
          <w:sz w:val="24"/>
          <w:szCs w:val="24"/>
        </w:rPr>
        <w:t xml:space="preserve"> što predstavlja  </w:t>
      </w:r>
      <w:r w:rsidR="00D34F9C">
        <w:rPr>
          <w:rFonts w:ascii="Bookman Old Style" w:hAnsi="Bookman Old Style"/>
          <w:sz w:val="24"/>
          <w:szCs w:val="24"/>
        </w:rPr>
        <w:t>92,79</w:t>
      </w:r>
      <w:r w:rsidR="003A2231" w:rsidRPr="00D34F9C">
        <w:rPr>
          <w:rFonts w:ascii="Bookman Old Style" w:hAnsi="Bookman Old Style"/>
          <w:sz w:val="24"/>
          <w:szCs w:val="24"/>
        </w:rPr>
        <w:t xml:space="preserve">% planiranih sredstava. Odnose se na naknade za rad </w:t>
      </w:r>
      <w:r w:rsidR="003A2231" w:rsidRPr="00D34F9C">
        <w:rPr>
          <w:rFonts w:ascii="Bookman Old Style" w:hAnsi="Bookman Old Style"/>
          <w:sz w:val="24"/>
          <w:szCs w:val="24"/>
        </w:rPr>
        <w:lastRenderedPageBreak/>
        <w:t xml:space="preserve">predstavničkih </w:t>
      </w:r>
      <w:r w:rsidR="003A2231" w:rsidRPr="00D34F9C">
        <w:rPr>
          <w:rFonts w:ascii="Bookman Old Style" w:hAnsi="Bookman Old Style"/>
          <w:bCs/>
          <w:sz w:val="24"/>
          <w:szCs w:val="24"/>
        </w:rPr>
        <w:t>i izvršnih tijela, premije osiguranja, reprezentacija, članarine i norme te pristojbe i naknade, troškovi sudskih postupaka  i ostali nespomenuti rashodi poslovanja.</w:t>
      </w:r>
    </w:p>
    <w:p w:rsidR="001A391D" w:rsidRPr="00CA0F27" w:rsidRDefault="00B21E1D" w:rsidP="00B21E1D">
      <w:pPr>
        <w:jc w:val="both"/>
        <w:rPr>
          <w:rFonts w:ascii="Bookman Old Style" w:hAnsi="Bookman Old Style"/>
          <w:b/>
          <w:sz w:val="24"/>
          <w:szCs w:val="24"/>
        </w:rPr>
      </w:pPr>
      <w:r w:rsidRPr="00D611C2">
        <w:rPr>
          <w:rFonts w:ascii="Bookman Old Style" w:hAnsi="Bookman Old Style"/>
          <w:i/>
          <w:sz w:val="24"/>
          <w:szCs w:val="24"/>
        </w:rPr>
        <w:t xml:space="preserve">Financijski rashodi  </w:t>
      </w:r>
      <w:r w:rsidRPr="00D611C2">
        <w:rPr>
          <w:rFonts w:ascii="Bookman Old Style" w:hAnsi="Bookman Old Style"/>
          <w:sz w:val="24"/>
          <w:szCs w:val="24"/>
        </w:rPr>
        <w:t>(skupina 34)</w:t>
      </w:r>
      <w:r w:rsidRPr="00CA0F27">
        <w:rPr>
          <w:rFonts w:ascii="Bookman Old Style" w:hAnsi="Bookman Old Style"/>
          <w:b/>
          <w:sz w:val="24"/>
          <w:szCs w:val="24"/>
        </w:rPr>
        <w:t xml:space="preserve"> </w:t>
      </w:r>
      <w:r w:rsidR="00D611C2">
        <w:rPr>
          <w:rFonts w:ascii="Bookman Old Style" w:hAnsi="Bookman Old Style"/>
          <w:sz w:val="24"/>
          <w:szCs w:val="24"/>
        </w:rPr>
        <w:t xml:space="preserve">izvršeni su </w:t>
      </w:r>
      <w:r w:rsidR="001A391D" w:rsidRPr="00CA0F27">
        <w:rPr>
          <w:rFonts w:ascii="Bookman Old Style" w:hAnsi="Bookman Old Style"/>
          <w:sz w:val="24"/>
          <w:szCs w:val="24"/>
        </w:rPr>
        <w:t>u</w:t>
      </w:r>
      <w:r w:rsidRPr="00CA0F27">
        <w:rPr>
          <w:rFonts w:ascii="Bookman Old Style" w:hAnsi="Bookman Old Style"/>
          <w:sz w:val="24"/>
          <w:szCs w:val="24"/>
        </w:rPr>
        <w:t xml:space="preserve"> ukupnom iznosu od </w:t>
      </w:r>
      <w:r w:rsidR="00D34F9C">
        <w:rPr>
          <w:rFonts w:ascii="Bookman Old Style" w:hAnsi="Bookman Old Style"/>
          <w:sz w:val="24"/>
          <w:szCs w:val="24"/>
        </w:rPr>
        <w:t>1.651</w:t>
      </w:r>
      <w:r w:rsidRPr="00CA0F27">
        <w:rPr>
          <w:rFonts w:ascii="Bookman Old Style" w:hAnsi="Bookman Old Style"/>
          <w:sz w:val="24"/>
          <w:szCs w:val="24"/>
        </w:rPr>
        <w:t xml:space="preserve"> € </w:t>
      </w:r>
      <w:r w:rsidR="00FB76A0">
        <w:rPr>
          <w:rFonts w:ascii="Bookman Old Style" w:hAnsi="Bookman Old Style"/>
          <w:sz w:val="24"/>
          <w:szCs w:val="24"/>
        </w:rPr>
        <w:t xml:space="preserve">odnosno </w:t>
      </w:r>
      <w:r w:rsidR="00D34F9C">
        <w:rPr>
          <w:rFonts w:ascii="Bookman Old Style" w:hAnsi="Bookman Old Style"/>
          <w:sz w:val="24"/>
          <w:szCs w:val="24"/>
        </w:rPr>
        <w:t>48,43</w:t>
      </w:r>
      <w:r w:rsidR="00FB76A0">
        <w:rPr>
          <w:rFonts w:ascii="Bookman Old Style" w:hAnsi="Bookman Old Style"/>
          <w:sz w:val="24"/>
          <w:szCs w:val="24"/>
        </w:rPr>
        <w:t xml:space="preserve">% </w:t>
      </w:r>
      <w:r w:rsidR="00D34F9C">
        <w:rPr>
          <w:rFonts w:ascii="Bookman Old Style" w:hAnsi="Bookman Old Style"/>
          <w:sz w:val="24"/>
          <w:szCs w:val="24"/>
        </w:rPr>
        <w:t>na plan</w:t>
      </w:r>
      <w:r w:rsidR="00FB76A0">
        <w:rPr>
          <w:rFonts w:ascii="Bookman Old Style" w:hAnsi="Bookman Old Style"/>
          <w:sz w:val="24"/>
          <w:szCs w:val="24"/>
        </w:rPr>
        <w:t xml:space="preserve">. </w:t>
      </w:r>
      <w:r w:rsidR="001A391D" w:rsidRPr="00CA0F27">
        <w:rPr>
          <w:rFonts w:ascii="Bookman Old Style" w:hAnsi="Bookman Old Style"/>
          <w:sz w:val="24"/>
          <w:szCs w:val="24"/>
        </w:rPr>
        <w:t xml:space="preserve"> Odnose se na bankarske usluge i usluge platnog prometa i zatezne kamate</w:t>
      </w:r>
      <w:r w:rsidR="002220DE" w:rsidRPr="00CA0F27">
        <w:rPr>
          <w:rFonts w:ascii="Bookman Old Style" w:hAnsi="Bookman Old Style"/>
          <w:sz w:val="24"/>
          <w:szCs w:val="24"/>
        </w:rPr>
        <w:t xml:space="preserve"> u iznosu za tužbe u tijeku u svezi isplate razlike plaće zbog ne uvećanja osnovice od 6%.</w:t>
      </w:r>
    </w:p>
    <w:p w:rsidR="0038509C" w:rsidRDefault="00B21E1D" w:rsidP="0038509C">
      <w:pPr>
        <w:jc w:val="both"/>
        <w:rPr>
          <w:rFonts w:ascii="Bookman Old Style" w:hAnsi="Bookman Old Style"/>
          <w:sz w:val="24"/>
          <w:szCs w:val="24"/>
        </w:rPr>
      </w:pPr>
      <w:r w:rsidRPr="00FB76A0">
        <w:rPr>
          <w:rFonts w:ascii="Bookman Old Style" w:hAnsi="Bookman Old Style"/>
          <w:i/>
          <w:sz w:val="24"/>
          <w:szCs w:val="24"/>
        </w:rPr>
        <w:t>Naknade građanima i kućanstvima</w:t>
      </w:r>
      <w:r w:rsidR="0038509C" w:rsidRPr="00FB76A0">
        <w:rPr>
          <w:rFonts w:ascii="Bookman Old Style" w:hAnsi="Bookman Old Style"/>
          <w:i/>
          <w:sz w:val="24"/>
          <w:szCs w:val="24"/>
        </w:rPr>
        <w:t xml:space="preserve"> na temelju osiguranja i druge </w:t>
      </w:r>
      <w:r w:rsidR="002220DE" w:rsidRPr="00FB76A0">
        <w:rPr>
          <w:rFonts w:ascii="Bookman Old Style" w:hAnsi="Bookman Old Style"/>
          <w:i/>
          <w:sz w:val="24"/>
          <w:szCs w:val="24"/>
        </w:rPr>
        <w:t>naknade</w:t>
      </w:r>
      <w:r w:rsidRPr="00E24274">
        <w:rPr>
          <w:rFonts w:ascii="Bookman Old Style" w:hAnsi="Bookman Old Style"/>
          <w:sz w:val="24"/>
          <w:szCs w:val="24"/>
        </w:rPr>
        <w:t xml:space="preserve"> (skupina 37)</w:t>
      </w:r>
      <w:r w:rsidRPr="00E24274">
        <w:rPr>
          <w:rFonts w:ascii="Bookman Old Style" w:hAnsi="Bookman Old Style"/>
          <w:b/>
          <w:sz w:val="24"/>
          <w:szCs w:val="24"/>
        </w:rPr>
        <w:t xml:space="preserve"> </w:t>
      </w:r>
      <w:r w:rsidR="00FB76A0">
        <w:rPr>
          <w:rFonts w:ascii="Bookman Old Style" w:hAnsi="Bookman Old Style"/>
          <w:sz w:val="24"/>
          <w:szCs w:val="24"/>
        </w:rPr>
        <w:t xml:space="preserve">ostvareni </w:t>
      </w:r>
      <w:r w:rsidR="0038509C" w:rsidRPr="0038509C">
        <w:rPr>
          <w:rFonts w:ascii="Bookman Old Style" w:hAnsi="Bookman Old Style"/>
          <w:sz w:val="24"/>
          <w:szCs w:val="24"/>
        </w:rPr>
        <w:t xml:space="preserve"> su</w:t>
      </w:r>
      <w:r w:rsidR="0038509C">
        <w:rPr>
          <w:rFonts w:ascii="Bookman Old Style" w:hAnsi="Bookman Old Style"/>
          <w:sz w:val="24"/>
          <w:szCs w:val="24"/>
        </w:rPr>
        <w:t xml:space="preserve"> u </w:t>
      </w:r>
      <w:r w:rsidRPr="00E24274">
        <w:rPr>
          <w:rFonts w:ascii="Bookman Old Style" w:hAnsi="Bookman Old Style"/>
          <w:sz w:val="24"/>
          <w:szCs w:val="24"/>
        </w:rPr>
        <w:t xml:space="preserve">iznosu od </w:t>
      </w:r>
      <w:r w:rsidR="00D34F9C">
        <w:rPr>
          <w:rFonts w:ascii="Bookman Old Style" w:hAnsi="Bookman Old Style"/>
          <w:sz w:val="24"/>
          <w:szCs w:val="24"/>
        </w:rPr>
        <w:t>8.092</w:t>
      </w:r>
      <w:r w:rsidR="00FB76A0">
        <w:rPr>
          <w:rFonts w:ascii="Bookman Old Style" w:hAnsi="Bookman Old Style"/>
          <w:sz w:val="24"/>
          <w:szCs w:val="24"/>
        </w:rPr>
        <w:t xml:space="preserve"> € ili </w:t>
      </w:r>
      <w:r w:rsidR="00D34F9C">
        <w:rPr>
          <w:rFonts w:ascii="Bookman Old Style" w:hAnsi="Bookman Old Style"/>
          <w:sz w:val="24"/>
          <w:szCs w:val="24"/>
        </w:rPr>
        <w:t>76,81</w:t>
      </w:r>
      <w:r w:rsidR="00FB76A0">
        <w:rPr>
          <w:rFonts w:ascii="Bookman Old Style" w:hAnsi="Bookman Old Style"/>
          <w:sz w:val="24"/>
          <w:szCs w:val="24"/>
        </w:rPr>
        <w:t>%</w:t>
      </w:r>
      <w:r w:rsidRPr="00E24274">
        <w:rPr>
          <w:rFonts w:ascii="Bookman Old Style" w:hAnsi="Bookman Old Style"/>
          <w:sz w:val="24"/>
          <w:szCs w:val="24"/>
        </w:rPr>
        <w:t xml:space="preserve"> </w:t>
      </w:r>
      <w:r w:rsidR="00FB76A0">
        <w:rPr>
          <w:rFonts w:ascii="Bookman Old Style" w:hAnsi="Bookman Old Style"/>
          <w:sz w:val="24"/>
          <w:szCs w:val="24"/>
        </w:rPr>
        <w:t>planiranih sredstava</w:t>
      </w:r>
      <w:r w:rsidR="0038509C">
        <w:rPr>
          <w:rFonts w:ascii="Bookman Old Style" w:hAnsi="Bookman Old Style"/>
          <w:sz w:val="24"/>
          <w:szCs w:val="24"/>
        </w:rPr>
        <w:t>. O</w:t>
      </w:r>
      <w:r w:rsidRPr="00B21E1D">
        <w:rPr>
          <w:rFonts w:ascii="Bookman Old Style" w:hAnsi="Bookman Old Style"/>
          <w:sz w:val="24"/>
          <w:szCs w:val="24"/>
        </w:rPr>
        <w:t>dnos</w:t>
      </w:r>
      <w:r w:rsidR="00FB76A0">
        <w:rPr>
          <w:rFonts w:ascii="Bookman Old Style" w:hAnsi="Bookman Old Style"/>
          <w:sz w:val="24"/>
          <w:szCs w:val="24"/>
        </w:rPr>
        <w:t>e</w:t>
      </w:r>
      <w:r w:rsidRPr="00B21E1D">
        <w:rPr>
          <w:rFonts w:ascii="Bookman Old Style" w:hAnsi="Bookman Old Style"/>
          <w:sz w:val="24"/>
          <w:szCs w:val="24"/>
        </w:rPr>
        <w:t xml:space="preserve"> se na školu u prirodi i maturalna putovanja za djecu slabijeg imovinskog stanja </w:t>
      </w:r>
      <w:r w:rsidR="0038509C">
        <w:rPr>
          <w:rFonts w:ascii="Bookman Old Style" w:hAnsi="Bookman Old Style"/>
          <w:sz w:val="24"/>
          <w:szCs w:val="24"/>
        </w:rPr>
        <w:t xml:space="preserve">koji se financiraju iz gradskog proračuna te </w:t>
      </w:r>
      <w:r w:rsidRPr="0038509C">
        <w:rPr>
          <w:rFonts w:ascii="Bookman Old Style" w:hAnsi="Bookman Old Style"/>
          <w:sz w:val="24"/>
          <w:szCs w:val="24"/>
        </w:rPr>
        <w:t>na udžbenike radnog karaktera financirani od strane MZO-a</w:t>
      </w:r>
      <w:r w:rsidR="0038509C">
        <w:rPr>
          <w:rFonts w:ascii="Bookman Old Style" w:hAnsi="Bookman Old Style"/>
          <w:sz w:val="24"/>
          <w:szCs w:val="24"/>
        </w:rPr>
        <w:t xml:space="preserve"> (državni proračun)</w:t>
      </w:r>
    </w:p>
    <w:p w:rsidR="00515A71" w:rsidRPr="006E4FFF" w:rsidRDefault="00515A71" w:rsidP="0038509C">
      <w:pPr>
        <w:jc w:val="both"/>
        <w:rPr>
          <w:rFonts w:ascii="Bookman Old Style" w:hAnsi="Bookman Old Style"/>
          <w:sz w:val="24"/>
          <w:szCs w:val="24"/>
        </w:rPr>
      </w:pPr>
      <w:r w:rsidRPr="006E4FFF">
        <w:rPr>
          <w:rFonts w:ascii="Bookman Old Style" w:hAnsi="Bookman Old Style"/>
          <w:i/>
          <w:sz w:val="24"/>
          <w:szCs w:val="24"/>
        </w:rPr>
        <w:t>Ostale tekuće donacije u naravi</w:t>
      </w:r>
      <w:r w:rsidRPr="006E4FFF">
        <w:rPr>
          <w:rFonts w:ascii="Bookman Old Style" w:hAnsi="Bookman Old Style"/>
          <w:sz w:val="24"/>
          <w:szCs w:val="24"/>
        </w:rPr>
        <w:t xml:space="preserve">  (skupina 38) </w:t>
      </w:r>
      <w:r w:rsidR="00FB76A0" w:rsidRPr="006E4FFF">
        <w:rPr>
          <w:rFonts w:ascii="Bookman Old Style" w:hAnsi="Bookman Old Style"/>
          <w:sz w:val="24"/>
          <w:szCs w:val="24"/>
        </w:rPr>
        <w:t xml:space="preserve">ostvareni </w:t>
      </w:r>
      <w:r w:rsidRPr="006E4FFF">
        <w:rPr>
          <w:rFonts w:ascii="Bookman Old Style" w:hAnsi="Bookman Old Style"/>
          <w:sz w:val="24"/>
          <w:szCs w:val="24"/>
        </w:rPr>
        <w:t xml:space="preserve">su u iznosu od </w:t>
      </w:r>
      <w:r w:rsidR="00D34F9C">
        <w:rPr>
          <w:rFonts w:ascii="Bookman Old Style" w:hAnsi="Bookman Old Style"/>
          <w:sz w:val="24"/>
          <w:szCs w:val="24"/>
        </w:rPr>
        <w:t>705</w:t>
      </w:r>
      <w:r w:rsidR="00313127">
        <w:rPr>
          <w:rFonts w:ascii="Bookman Old Style" w:hAnsi="Bookman Old Style"/>
          <w:sz w:val="24"/>
          <w:szCs w:val="24"/>
        </w:rPr>
        <w:t xml:space="preserve"> </w:t>
      </w:r>
      <w:r w:rsidRPr="006E4FFF">
        <w:rPr>
          <w:rFonts w:ascii="Bookman Old Style" w:hAnsi="Bookman Old Style"/>
          <w:sz w:val="24"/>
          <w:szCs w:val="24"/>
        </w:rPr>
        <w:t xml:space="preserve">€ </w:t>
      </w:r>
      <w:r w:rsidR="00FB76A0" w:rsidRPr="006E4FFF">
        <w:rPr>
          <w:rFonts w:ascii="Bookman Old Style" w:hAnsi="Bookman Old Style"/>
          <w:sz w:val="24"/>
          <w:szCs w:val="24"/>
        </w:rPr>
        <w:t xml:space="preserve">odnosno </w:t>
      </w:r>
      <w:r w:rsidR="00D34F9C">
        <w:rPr>
          <w:rFonts w:ascii="Bookman Old Style" w:hAnsi="Bookman Old Style"/>
          <w:sz w:val="24"/>
          <w:szCs w:val="24"/>
        </w:rPr>
        <w:t>99,95</w:t>
      </w:r>
      <w:r w:rsidR="00FB76A0" w:rsidRPr="006E4FFF">
        <w:rPr>
          <w:rFonts w:ascii="Bookman Old Style" w:hAnsi="Bookman Old Style"/>
          <w:sz w:val="24"/>
          <w:szCs w:val="24"/>
        </w:rPr>
        <w:t xml:space="preserve"> </w:t>
      </w:r>
      <w:r w:rsidRPr="006E4FFF">
        <w:rPr>
          <w:rFonts w:ascii="Bookman Old Style" w:hAnsi="Bookman Old Style"/>
          <w:sz w:val="24"/>
          <w:szCs w:val="24"/>
        </w:rPr>
        <w:t>%</w:t>
      </w:r>
      <w:r w:rsidR="006B2673" w:rsidRPr="006E4FFF">
        <w:rPr>
          <w:rFonts w:ascii="Bookman Old Style" w:hAnsi="Bookman Old Style"/>
          <w:sz w:val="24"/>
          <w:szCs w:val="24"/>
        </w:rPr>
        <w:t xml:space="preserve"> </w:t>
      </w:r>
      <w:r w:rsidR="006E4FFF" w:rsidRPr="006E4FFF">
        <w:rPr>
          <w:rFonts w:ascii="Bookman Old Style" w:hAnsi="Bookman Old Style"/>
          <w:sz w:val="24"/>
          <w:szCs w:val="24"/>
        </w:rPr>
        <w:t xml:space="preserve">a odnose se na </w:t>
      </w:r>
      <w:r w:rsidR="006B2673" w:rsidRPr="006E4FFF">
        <w:rPr>
          <w:rFonts w:ascii="Bookman Old Style" w:hAnsi="Bookman Old Style"/>
          <w:sz w:val="24"/>
          <w:szCs w:val="24"/>
        </w:rPr>
        <w:t>pomoći iz državnog proračuna za nabavu higijenskih potrepština</w:t>
      </w:r>
      <w:r w:rsidR="006E4FFF" w:rsidRPr="006E4FFF">
        <w:rPr>
          <w:rFonts w:ascii="Bookman Old Style" w:hAnsi="Bookman Old Style"/>
          <w:sz w:val="24"/>
          <w:szCs w:val="24"/>
        </w:rPr>
        <w:t>.</w:t>
      </w:r>
    </w:p>
    <w:p w:rsidR="00725B74" w:rsidRDefault="00725B74" w:rsidP="0038509C">
      <w:pPr>
        <w:jc w:val="both"/>
        <w:rPr>
          <w:rFonts w:ascii="Bookman Old Style" w:hAnsi="Bookman Old Style"/>
          <w:sz w:val="24"/>
          <w:szCs w:val="24"/>
        </w:rPr>
      </w:pPr>
    </w:p>
    <w:p w:rsidR="00B21E1D" w:rsidRPr="00D06FFD" w:rsidRDefault="000B685D" w:rsidP="0038509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1.</w:t>
      </w:r>
      <w:r w:rsidR="0038509C" w:rsidRPr="00D06FFD">
        <w:rPr>
          <w:rFonts w:ascii="Bookman Old Style" w:hAnsi="Bookman Old Style"/>
          <w:b/>
          <w:sz w:val="24"/>
          <w:szCs w:val="24"/>
        </w:rPr>
        <w:t>2.2. R</w:t>
      </w:r>
      <w:r w:rsidR="00B21E1D" w:rsidRPr="00D06FFD">
        <w:rPr>
          <w:rFonts w:ascii="Bookman Old Style" w:hAnsi="Bookman Old Style"/>
          <w:b/>
          <w:sz w:val="24"/>
          <w:szCs w:val="24"/>
        </w:rPr>
        <w:t>ashodi za nabavu nefinancijske imovine</w:t>
      </w:r>
      <w:r w:rsidR="00C67303" w:rsidRPr="00D06FFD">
        <w:rPr>
          <w:rFonts w:ascii="Bookman Old Style" w:hAnsi="Bookman Old Style"/>
          <w:b/>
          <w:sz w:val="24"/>
          <w:szCs w:val="24"/>
        </w:rPr>
        <w:t xml:space="preserve"> (razred 4)</w:t>
      </w:r>
    </w:p>
    <w:p w:rsidR="0046644F" w:rsidRPr="00D06FFD" w:rsidRDefault="00B21E1D" w:rsidP="002400FB">
      <w:pPr>
        <w:rPr>
          <w:rFonts w:ascii="Bookman Old Style" w:hAnsi="Bookman Old Style"/>
          <w:sz w:val="24"/>
          <w:szCs w:val="24"/>
        </w:rPr>
      </w:pPr>
      <w:r w:rsidRPr="00D06FFD">
        <w:rPr>
          <w:rFonts w:ascii="Bookman Old Style" w:hAnsi="Bookman Old Style"/>
          <w:i/>
          <w:sz w:val="24"/>
          <w:szCs w:val="24"/>
        </w:rPr>
        <w:t xml:space="preserve">Rashodi za </w:t>
      </w:r>
      <w:r w:rsidR="00525D0B" w:rsidRPr="00D06FFD">
        <w:rPr>
          <w:rFonts w:ascii="Bookman Old Style" w:hAnsi="Bookman Old Style"/>
          <w:i/>
          <w:sz w:val="24"/>
          <w:szCs w:val="24"/>
        </w:rPr>
        <w:t>nabavu proizvedene dugotrajne imovine</w:t>
      </w:r>
      <w:r w:rsidR="00525D0B" w:rsidRPr="00D06FF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13127" w:rsidRPr="00D06FFD">
        <w:rPr>
          <w:rFonts w:ascii="Bookman Old Style" w:hAnsi="Bookman Old Style"/>
          <w:i/>
          <w:sz w:val="24"/>
          <w:szCs w:val="24"/>
        </w:rPr>
        <w:t>(</w:t>
      </w:r>
      <w:r w:rsidR="00C67303" w:rsidRPr="00D06FFD">
        <w:rPr>
          <w:rFonts w:ascii="Bookman Old Style" w:hAnsi="Bookman Old Style"/>
          <w:i/>
          <w:sz w:val="24"/>
          <w:szCs w:val="24"/>
        </w:rPr>
        <w:t>skupina 42</w:t>
      </w:r>
      <w:r w:rsidR="00313127" w:rsidRPr="00D06FFD">
        <w:rPr>
          <w:rFonts w:ascii="Bookman Old Style" w:hAnsi="Bookman Old Style"/>
          <w:i/>
          <w:sz w:val="24"/>
          <w:szCs w:val="24"/>
        </w:rPr>
        <w:t>)</w:t>
      </w:r>
      <w:r w:rsidR="00313127" w:rsidRPr="00D06FFD">
        <w:rPr>
          <w:rFonts w:ascii="Bookman Old Style" w:hAnsi="Bookman Old Style"/>
          <w:sz w:val="24"/>
          <w:szCs w:val="24"/>
        </w:rPr>
        <w:t xml:space="preserve"> izvršeni </w:t>
      </w:r>
      <w:r w:rsidR="00525D0B" w:rsidRPr="00D06FFD">
        <w:rPr>
          <w:rFonts w:ascii="Bookman Old Style" w:hAnsi="Bookman Old Style"/>
          <w:sz w:val="24"/>
          <w:szCs w:val="24"/>
        </w:rPr>
        <w:t xml:space="preserve"> su u iznosu od </w:t>
      </w:r>
      <w:r w:rsidR="00D34F9C">
        <w:rPr>
          <w:rFonts w:ascii="Bookman Old Style" w:hAnsi="Bookman Old Style"/>
          <w:sz w:val="24"/>
          <w:szCs w:val="24"/>
        </w:rPr>
        <w:t>38.171</w:t>
      </w:r>
      <w:r w:rsidR="00313127" w:rsidRPr="00D06FFD">
        <w:rPr>
          <w:rFonts w:ascii="Bookman Old Style" w:hAnsi="Bookman Old Style"/>
          <w:sz w:val="24"/>
          <w:szCs w:val="24"/>
        </w:rPr>
        <w:t xml:space="preserve"> € tj. </w:t>
      </w:r>
      <w:r w:rsidR="00D34F9C">
        <w:rPr>
          <w:rFonts w:ascii="Bookman Old Style" w:hAnsi="Bookman Old Style"/>
          <w:sz w:val="24"/>
          <w:szCs w:val="24"/>
        </w:rPr>
        <w:t>93,76</w:t>
      </w:r>
      <w:r w:rsidR="00313127" w:rsidRPr="00D06FFD">
        <w:rPr>
          <w:rFonts w:ascii="Bookman Old Style" w:hAnsi="Bookman Old Style"/>
          <w:sz w:val="24"/>
          <w:szCs w:val="24"/>
        </w:rPr>
        <w:t>% financijskim planom planiranih sredstava</w:t>
      </w:r>
      <w:r w:rsidR="00525D0B" w:rsidRPr="00D06FFD">
        <w:rPr>
          <w:rFonts w:ascii="Bookman Old Style" w:hAnsi="Bookman Old Style"/>
          <w:sz w:val="24"/>
          <w:szCs w:val="24"/>
        </w:rPr>
        <w:t xml:space="preserve"> </w:t>
      </w:r>
      <w:r w:rsidR="00FE7621" w:rsidRPr="00D06FFD">
        <w:rPr>
          <w:rFonts w:ascii="Bookman Old Style" w:hAnsi="Bookman Old Style"/>
          <w:sz w:val="24"/>
          <w:szCs w:val="24"/>
        </w:rPr>
        <w:t xml:space="preserve">i u strukturi ukupnih rashoda iznose </w:t>
      </w:r>
      <w:r w:rsidR="00D34F9C">
        <w:rPr>
          <w:rFonts w:ascii="Bookman Old Style" w:hAnsi="Bookman Old Style"/>
          <w:sz w:val="24"/>
          <w:szCs w:val="24"/>
        </w:rPr>
        <w:t>2,46%</w:t>
      </w:r>
      <w:r w:rsidR="0046644F" w:rsidRPr="00D06FFD">
        <w:rPr>
          <w:rFonts w:ascii="Bookman Old Style" w:hAnsi="Bookman Old Style"/>
          <w:sz w:val="24"/>
          <w:szCs w:val="24"/>
        </w:rPr>
        <w:t>.</w:t>
      </w:r>
      <w:r w:rsidR="00D34F9C">
        <w:rPr>
          <w:rFonts w:ascii="Bookman Old Style" w:hAnsi="Bookman Old Style"/>
          <w:sz w:val="24"/>
          <w:szCs w:val="24"/>
        </w:rPr>
        <w:t xml:space="preserve"> </w:t>
      </w:r>
      <w:r w:rsidR="00FE7621" w:rsidRPr="00D06FFD">
        <w:rPr>
          <w:rFonts w:ascii="Bookman Old Style" w:hAnsi="Bookman Old Style"/>
          <w:sz w:val="24"/>
          <w:szCs w:val="24"/>
        </w:rPr>
        <w:t xml:space="preserve">Odnose se na </w:t>
      </w:r>
      <w:r w:rsidRPr="00D06FFD">
        <w:rPr>
          <w:rFonts w:ascii="Bookman Old Style" w:hAnsi="Bookman Old Style"/>
          <w:sz w:val="24"/>
          <w:szCs w:val="24"/>
        </w:rPr>
        <w:t>nabav</w:t>
      </w:r>
      <w:r w:rsidR="002400FB" w:rsidRPr="00D06FFD">
        <w:rPr>
          <w:rFonts w:ascii="Bookman Old Style" w:hAnsi="Bookman Old Style"/>
          <w:sz w:val="24"/>
          <w:szCs w:val="24"/>
        </w:rPr>
        <w:t>u</w:t>
      </w:r>
      <w:r w:rsidRPr="00D06FFD">
        <w:rPr>
          <w:rFonts w:ascii="Bookman Old Style" w:hAnsi="Bookman Old Style"/>
          <w:sz w:val="24"/>
          <w:szCs w:val="24"/>
        </w:rPr>
        <w:t xml:space="preserve"> </w:t>
      </w:r>
      <w:r w:rsidR="00FE7621" w:rsidRPr="00D06FFD">
        <w:rPr>
          <w:rFonts w:ascii="Bookman Old Style" w:hAnsi="Bookman Old Style"/>
          <w:sz w:val="24"/>
          <w:szCs w:val="24"/>
        </w:rPr>
        <w:t>uredske</w:t>
      </w:r>
      <w:r w:rsidRPr="00D06FFD">
        <w:rPr>
          <w:rFonts w:ascii="Bookman Old Style" w:hAnsi="Bookman Old Style"/>
          <w:sz w:val="24"/>
          <w:szCs w:val="24"/>
        </w:rPr>
        <w:t xml:space="preserve"> opreme i namještaja</w:t>
      </w:r>
      <w:r w:rsidR="0046644F" w:rsidRPr="00D06FFD">
        <w:rPr>
          <w:rFonts w:ascii="Bookman Old Style" w:hAnsi="Bookman Old Style"/>
          <w:sz w:val="24"/>
          <w:szCs w:val="24"/>
        </w:rPr>
        <w:t xml:space="preserve">, </w:t>
      </w:r>
    </w:p>
    <w:p w:rsidR="00103C32" w:rsidRPr="00D06FFD" w:rsidRDefault="0046644F" w:rsidP="004272FD">
      <w:pPr>
        <w:pStyle w:val="Odlomakpopisa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D06FFD">
        <w:rPr>
          <w:rFonts w:ascii="Bookman Old Style" w:hAnsi="Bookman Old Style"/>
          <w:sz w:val="24"/>
          <w:szCs w:val="24"/>
        </w:rPr>
        <w:t>Rashodi za postrojenja i opremu (podskupina 422) izvršeni</w:t>
      </w:r>
      <w:r w:rsidR="003D156A" w:rsidRPr="00D06FFD">
        <w:rPr>
          <w:rFonts w:ascii="Bookman Old Style" w:hAnsi="Bookman Old Style"/>
          <w:sz w:val="24"/>
          <w:szCs w:val="24"/>
        </w:rPr>
        <w:t xml:space="preserve"> </w:t>
      </w:r>
      <w:r w:rsidRPr="00D06FFD">
        <w:rPr>
          <w:rFonts w:ascii="Bookman Old Style" w:hAnsi="Bookman Old Style"/>
          <w:sz w:val="24"/>
          <w:szCs w:val="24"/>
        </w:rPr>
        <w:t xml:space="preserve">su u iznosu od </w:t>
      </w:r>
      <w:r w:rsidR="00D34F9C">
        <w:rPr>
          <w:rFonts w:ascii="Bookman Old Style" w:hAnsi="Bookman Old Style"/>
          <w:sz w:val="24"/>
          <w:szCs w:val="24"/>
        </w:rPr>
        <w:t>38.171</w:t>
      </w:r>
      <w:r w:rsidRPr="00D06FFD">
        <w:rPr>
          <w:rFonts w:ascii="Bookman Old Style" w:hAnsi="Bookman Old Style"/>
          <w:sz w:val="24"/>
          <w:szCs w:val="24"/>
        </w:rPr>
        <w:t xml:space="preserve"> € ili 86,41% financijskim planom planiranih sredstava. </w:t>
      </w:r>
      <w:r w:rsidR="00F966FF" w:rsidRPr="00D06FFD">
        <w:rPr>
          <w:rFonts w:ascii="Bookman Old Style" w:hAnsi="Bookman Old Style"/>
          <w:sz w:val="24"/>
          <w:szCs w:val="24"/>
        </w:rPr>
        <w:t>Najvećim djelom odnose se na uredsku opremu i namještaj</w:t>
      </w:r>
      <w:r w:rsidR="001532CD">
        <w:rPr>
          <w:rFonts w:ascii="Bookman Old Style" w:hAnsi="Bookman Old Style"/>
          <w:sz w:val="24"/>
          <w:szCs w:val="24"/>
        </w:rPr>
        <w:t xml:space="preserve"> (</w:t>
      </w:r>
      <w:r w:rsidR="0089425C">
        <w:rPr>
          <w:rFonts w:ascii="Bookman Old Style" w:hAnsi="Bookman Old Style"/>
          <w:sz w:val="24"/>
          <w:szCs w:val="24"/>
        </w:rPr>
        <w:t xml:space="preserve">nabavljena su </w:t>
      </w:r>
      <w:r w:rsidR="001532CD">
        <w:rPr>
          <w:rFonts w:ascii="Bookman Old Style" w:hAnsi="Bookman Old Style"/>
          <w:sz w:val="24"/>
          <w:szCs w:val="24"/>
        </w:rPr>
        <w:t xml:space="preserve"> računala, projektor</w:t>
      </w:r>
      <w:r w:rsidR="0089425C">
        <w:rPr>
          <w:rFonts w:ascii="Bookman Old Style" w:hAnsi="Bookman Old Style"/>
          <w:sz w:val="24"/>
          <w:szCs w:val="24"/>
        </w:rPr>
        <w:t>i</w:t>
      </w:r>
      <w:r w:rsidR="001532CD">
        <w:rPr>
          <w:rFonts w:ascii="Bookman Old Style" w:hAnsi="Bookman Old Style"/>
          <w:sz w:val="24"/>
          <w:szCs w:val="24"/>
        </w:rPr>
        <w:t>, stolic</w:t>
      </w:r>
      <w:r w:rsidR="0089425C">
        <w:rPr>
          <w:rFonts w:ascii="Bookman Old Style" w:hAnsi="Bookman Old Style"/>
          <w:sz w:val="24"/>
          <w:szCs w:val="24"/>
        </w:rPr>
        <w:t>e</w:t>
      </w:r>
      <w:r w:rsidR="001532CD">
        <w:rPr>
          <w:rFonts w:ascii="Bookman Old Style" w:hAnsi="Bookman Old Style"/>
          <w:sz w:val="24"/>
          <w:szCs w:val="24"/>
        </w:rPr>
        <w:t xml:space="preserve">, </w:t>
      </w:r>
      <w:r w:rsidR="003C3BA3">
        <w:rPr>
          <w:rFonts w:ascii="Bookman Old Style" w:hAnsi="Bookman Old Style"/>
          <w:sz w:val="24"/>
          <w:szCs w:val="24"/>
        </w:rPr>
        <w:t xml:space="preserve">ploče i </w:t>
      </w:r>
      <w:r w:rsidR="001532CD">
        <w:rPr>
          <w:rFonts w:ascii="Bookman Old Style" w:hAnsi="Bookman Old Style"/>
          <w:sz w:val="24"/>
          <w:szCs w:val="24"/>
        </w:rPr>
        <w:t>don</w:t>
      </w:r>
      <w:r w:rsidR="0089425C">
        <w:rPr>
          <w:rFonts w:ascii="Bookman Old Style" w:hAnsi="Bookman Old Style"/>
          <w:sz w:val="24"/>
          <w:szCs w:val="24"/>
        </w:rPr>
        <w:t>iran nam je</w:t>
      </w:r>
      <w:r w:rsidR="001532CD">
        <w:rPr>
          <w:rFonts w:ascii="Bookman Old Style" w:hAnsi="Bookman Old Style"/>
          <w:sz w:val="24"/>
          <w:szCs w:val="24"/>
        </w:rPr>
        <w:t xml:space="preserve"> uredsk</w:t>
      </w:r>
      <w:r w:rsidR="003C3BA3">
        <w:rPr>
          <w:rFonts w:ascii="Bookman Old Style" w:hAnsi="Bookman Old Style"/>
          <w:sz w:val="24"/>
          <w:szCs w:val="24"/>
        </w:rPr>
        <w:t>i</w:t>
      </w:r>
      <w:r w:rsidR="001532CD">
        <w:rPr>
          <w:rFonts w:ascii="Bookman Old Style" w:hAnsi="Bookman Old Style"/>
          <w:sz w:val="24"/>
          <w:szCs w:val="24"/>
        </w:rPr>
        <w:t xml:space="preserve"> namještaj</w:t>
      </w:r>
      <w:r w:rsidR="003C3BA3">
        <w:rPr>
          <w:rFonts w:ascii="Bookman Old Style" w:hAnsi="Bookman Old Style"/>
          <w:sz w:val="24"/>
          <w:szCs w:val="24"/>
        </w:rPr>
        <w:t xml:space="preserve"> za korištenje učenicima u holu škole)</w:t>
      </w:r>
      <w:r w:rsidR="00F966FF" w:rsidRPr="00D06FFD">
        <w:rPr>
          <w:rFonts w:ascii="Bookman Old Style" w:hAnsi="Bookman Old Style"/>
          <w:sz w:val="24"/>
          <w:szCs w:val="24"/>
        </w:rPr>
        <w:t xml:space="preserve"> zatim opremu za održavanje</w:t>
      </w:r>
      <w:r w:rsidR="00103C32" w:rsidRPr="00D06FFD">
        <w:rPr>
          <w:rFonts w:ascii="Bookman Old Style" w:hAnsi="Bookman Old Style"/>
          <w:sz w:val="24"/>
          <w:szCs w:val="24"/>
        </w:rPr>
        <w:t xml:space="preserve"> i zaštitu</w:t>
      </w:r>
      <w:r w:rsidR="00F966FF" w:rsidRPr="00D06FFD">
        <w:rPr>
          <w:rFonts w:ascii="Bookman Old Style" w:hAnsi="Bookman Old Style"/>
          <w:sz w:val="24"/>
          <w:szCs w:val="24"/>
        </w:rPr>
        <w:t xml:space="preserve"> (</w:t>
      </w:r>
      <w:r w:rsidR="003C3BA3">
        <w:rPr>
          <w:rFonts w:ascii="Bookman Old Style" w:hAnsi="Bookman Old Style"/>
          <w:sz w:val="24"/>
          <w:szCs w:val="24"/>
        </w:rPr>
        <w:t>kupljena su dva</w:t>
      </w:r>
      <w:r w:rsidR="00F966FF" w:rsidRPr="00D06FFD">
        <w:rPr>
          <w:rFonts w:ascii="Bookman Old Style" w:hAnsi="Bookman Old Style"/>
          <w:sz w:val="24"/>
          <w:szCs w:val="24"/>
        </w:rPr>
        <w:t xml:space="preserve"> klima uređaja) </w:t>
      </w:r>
      <w:r w:rsidR="0091057F">
        <w:rPr>
          <w:rFonts w:ascii="Bookman Old Style" w:hAnsi="Bookman Old Style"/>
          <w:sz w:val="24"/>
          <w:szCs w:val="24"/>
        </w:rPr>
        <w:t>sportske i glazbene opreme tj. kupnjom golova za igralište, te uređaja, strojeve i opreme tj. kosilice, uređaja za puhanje za domare</w:t>
      </w:r>
      <w:r w:rsidR="00103C32" w:rsidRPr="00D06FFD">
        <w:rPr>
          <w:rFonts w:ascii="Bookman Old Style" w:hAnsi="Bookman Old Style"/>
          <w:sz w:val="24"/>
          <w:szCs w:val="24"/>
        </w:rPr>
        <w:t xml:space="preserve">- </w:t>
      </w:r>
      <w:r w:rsidR="00FE7621" w:rsidRPr="00D06FFD">
        <w:rPr>
          <w:rFonts w:ascii="Bookman Old Style" w:hAnsi="Bookman Old Style"/>
          <w:sz w:val="24"/>
          <w:szCs w:val="24"/>
        </w:rPr>
        <w:t>realizira</w:t>
      </w:r>
      <w:r w:rsidR="00103C32" w:rsidRPr="00D06FFD">
        <w:rPr>
          <w:rFonts w:ascii="Bookman Old Style" w:hAnsi="Bookman Old Style"/>
          <w:sz w:val="24"/>
          <w:szCs w:val="24"/>
        </w:rPr>
        <w:t xml:space="preserve">no </w:t>
      </w:r>
      <w:r w:rsidR="00FE7621" w:rsidRPr="00D06FFD">
        <w:rPr>
          <w:rFonts w:ascii="Bookman Old Style" w:hAnsi="Bookman Old Style"/>
          <w:sz w:val="24"/>
          <w:szCs w:val="24"/>
        </w:rPr>
        <w:t xml:space="preserve">iz gradskog proračuna. </w:t>
      </w:r>
      <w:r w:rsidR="002400FB" w:rsidRPr="00D06FFD">
        <w:rPr>
          <w:rFonts w:ascii="Bookman Old Style" w:hAnsi="Bookman Old Style"/>
          <w:sz w:val="24"/>
          <w:szCs w:val="24"/>
        </w:rPr>
        <w:t xml:space="preserve">  </w:t>
      </w:r>
    </w:p>
    <w:p w:rsidR="0054001B" w:rsidRDefault="00103C32" w:rsidP="004272FD">
      <w:pPr>
        <w:pStyle w:val="Odlomakpopisa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D06FFD">
        <w:rPr>
          <w:rFonts w:ascii="Bookman Old Style" w:hAnsi="Bookman Old Style"/>
          <w:sz w:val="24"/>
          <w:szCs w:val="24"/>
        </w:rPr>
        <w:t>Rashodi za nabavu udžbenika trajnog karaktera (koji nisu radni) i vode se kao imovina škole</w:t>
      </w:r>
      <w:r w:rsidR="00C67303" w:rsidRPr="00D06FFD">
        <w:rPr>
          <w:rFonts w:ascii="Bookman Old Style" w:hAnsi="Bookman Old Style"/>
          <w:sz w:val="24"/>
          <w:szCs w:val="24"/>
        </w:rPr>
        <w:t xml:space="preserve"> </w:t>
      </w:r>
      <w:r w:rsidRPr="00D06FFD">
        <w:rPr>
          <w:rFonts w:ascii="Bookman Old Style" w:hAnsi="Bookman Old Style"/>
          <w:sz w:val="24"/>
          <w:szCs w:val="24"/>
        </w:rPr>
        <w:t>(podskupina 424)</w:t>
      </w:r>
      <w:r w:rsidR="00C67303" w:rsidRPr="00D06FFD">
        <w:rPr>
          <w:rFonts w:ascii="Bookman Old Style" w:hAnsi="Bookman Old Style"/>
          <w:sz w:val="24"/>
          <w:szCs w:val="24"/>
        </w:rPr>
        <w:t xml:space="preserve"> </w:t>
      </w:r>
      <w:r w:rsidR="00D06FFD" w:rsidRPr="00D06FFD">
        <w:rPr>
          <w:rFonts w:ascii="Bookman Old Style" w:hAnsi="Bookman Old Style"/>
          <w:sz w:val="24"/>
          <w:szCs w:val="24"/>
        </w:rPr>
        <w:t xml:space="preserve">te </w:t>
      </w:r>
      <w:r w:rsidR="00810394">
        <w:rPr>
          <w:rFonts w:ascii="Bookman Old Style" w:hAnsi="Bookman Old Style"/>
          <w:sz w:val="24"/>
          <w:szCs w:val="24"/>
        </w:rPr>
        <w:t>opremanje Š</w:t>
      </w:r>
      <w:r w:rsidRPr="00D06FFD">
        <w:rPr>
          <w:rFonts w:ascii="Bookman Old Style" w:hAnsi="Bookman Old Style"/>
          <w:sz w:val="24"/>
          <w:szCs w:val="24"/>
        </w:rPr>
        <w:t>kolsk</w:t>
      </w:r>
      <w:r w:rsidR="00810394">
        <w:rPr>
          <w:rFonts w:ascii="Bookman Old Style" w:hAnsi="Bookman Old Style"/>
          <w:sz w:val="24"/>
          <w:szCs w:val="24"/>
        </w:rPr>
        <w:t>e</w:t>
      </w:r>
      <w:r w:rsidRPr="00D06FFD">
        <w:rPr>
          <w:rFonts w:ascii="Bookman Old Style" w:hAnsi="Bookman Old Style"/>
          <w:sz w:val="24"/>
          <w:szCs w:val="24"/>
        </w:rPr>
        <w:t xml:space="preserve"> knjižnic</w:t>
      </w:r>
      <w:r w:rsidR="00810394">
        <w:rPr>
          <w:rFonts w:ascii="Bookman Old Style" w:hAnsi="Bookman Old Style"/>
          <w:sz w:val="24"/>
          <w:szCs w:val="24"/>
        </w:rPr>
        <w:t>e književnom građom</w:t>
      </w:r>
      <w:r w:rsidR="00D06FFD" w:rsidRPr="00D06FFD">
        <w:rPr>
          <w:rFonts w:ascii="Bookman Old Style" w:hAnsi="Bookman Old Style"/>
          <w:sz w:val="24"/>
          <w:szCs w:val="24"/>
        </w:rPr>
        <w:t xml:space="preserve"> i</w:t>
      </w:r>
      <w:r w:rsidRPr="00D06FFD">
        <w:rPr>
          <w:rFonts w:ascii="Bookman Old Style" w:hAnsi="Bookman Old Style"/>
          <w:sz w:val="24"/>
          <w:szCs w:val="24"/>
        </w:rPr>
        <w:t xml:space="preserve">zvršeni su u iznosu od </w:t>
      </w:r>
      <w:r w:rsidR="0091057F">
        <w:rPr>
          <w:rFonts w:ascii="Bookman Old Style" w:hAnsi="Bookman Old Style"/>
          <w:sz w:val="24"/>
          <w:szCs w:val="24"/>
        </w:rPr>
        <w:t>12.719</w:t>
      </w:r>
      <w:r w:rsidRPr="00D06FFD">
        <w:rPr>
          <w:rFonts w:ascii="Bookman Old Style" w:hAnsi="Bookman Old Style"/>
          <w:sz w:val="24"/>
          <w:szCs w:val="24"/>
        </w:rPr>
        <w:t xml:space="preserve"> € planiranih sredstava</w:t>
      </w:r>
      <w:r w:rsidR="00D06FFD" w:rsidRPr="00D06FFD">
        <w:rPr>
          <w:rFonts w:ascii="Bookman Old Style" w:hAnsi="Bookman Old Style"/>
          <w:sz w:val="24"/>
          <w:szCs w:val="24"/>
        </w:rPr>
        <w:t>.</w:t>
      </w:r>
      <w:r w:rsidRPr="00D06FF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Navedeni rashodi realizirani su</w:t>
      </w:r>
      <w:r w:rsidR="00CA4926">
        <w:rPr>
          <w:rFonts w:ascii="Bookman Old Style" w:hAnsi="Bookman Old Style"/>
          <w:sz w:val="24"/>
          <w:szCs w:val="24"/>
        </w:rPr>
        <w:t xml:space="preserve"> </w:t>
      </w:r>
      <w:r w:rsidRPr="00D06FFD">
        <w:rPr>
          <w:rFonts w:ascii="Bookman Old Style" w:hAnsi="Bookman Old Style"/>
          <w:sz w:val="24"/>
          <w:szCs w:val="24"/>
        </w:rPr>
        <w:t>iz Gradskog proračuna</w:t>
      </w:r>
      <w:r w:rsidR="00C67303" w:rsidRPr="00D06FFD">
        <w:rPr>
          <w:rFonts w:ascii="Bookman Old Style" w:hAnsi="Bookman Old Style"/>
          <w:sz w:val="24"/>
          <w:szCs w:val="24"/>
        </w:rPr>
        <w:t xml:space="preserve"> (od strane </w:t>
      </w:r>
      <w:r w:rsidR="00C67303" w:rsidRPr="00D06FFD">
        <w:rPr>
          <w:rFonts w:ascii="Bookman Old Style" w:hAnsi="Bookman Old Style"/>
          <w:sz w:val="24"/>
          <w:szCs w:val="24"/>
        </w:rPr>
        <w:lastRenderedPageBreak/>
        <w:t>osnivača)</w:t>
      </w:r>
      <w:r w:rsidRPr="00D06FFD">
        <w:rPr>
          <w:rFonts w:ascii="Bookman Old Style" w:hAnsi="Bookman Old Style"/>
          <w:sz w:val="24"/>
          <w:szCs w:val="24"/>
        </w:rPr>
        <w:t xml:space="preserve"> </w:t>
      </w:r>
      <w:r w:rsidR="00CA4926">
        <w:rPr>
          <w:rFonts w:ascii="Bookman Old Style" w:hAnsi="Bookman Old Style"/>
          <w:sz w:val="24"/>
          <w:szCs w:val="24"/>
        </w:rPr>
        <w:t>i jednim</w:t>
      </w:r>
      <w:r w:rsidRPr="00D06FFD">
        <w:rPr>
          <w:rFonts w:ascii="Bookman Old Style" w:hAnsi="Bookman Old Style"/>
          <w:sz w:val="24"/>
          <w:szCs w:val="24"/>
        </w:rPr>
        <w:t xml:space="preserve"> dijelom iz državnog proračuna</w:t>
      </w:r>
      <w:r w:rsidR="00C67303" w:rsidRPr="00D06FFD">
        <w:rPr>
          <w:rFonts w:ascii="Bookman Old Style" w:hAnsi="Bookman Old Style"/>
          <w:sz w:val="24"/>
          <w:szCs w:val="24"/>
        </w:rPr>
        <w:t xml:space="preserve"> -od strane nadležnog ministarstva a tič</w:t>
      </w:r>
      <w:r w:rsidR="001532CD">
        <w:rPr>
          <w:rFonts w:ascii="Bookman Old Style" w:hAnsi="Bookman Old Style"/>
          <w:sz w:val="24"/>
          <w:szCs w:val="24"/>
        </w:rPr>
        <w:t xml:space="preserve">u </w:t>
      </w:r>
      <w:r w:rsidR="00C67303" w:rsidRPr="00D06FFD">
        <w:rPr>
          <w:rFonts w:ascii="Bookman Old Style" w:hAnsi="Bookman Old Style"/>
          <w:sz w:val="24"/>
          <w:szCs w:val="24"/>
        </w:rPr>
        <w:t xml:space="preserve">se </w:t>
      </w:r>
      <w:r w:rsidRPr="00D06FFD">
        <w:rPr>
          <w:rFonts w:ascii="Bookman Old Style" w:hAnsi="Bookman Old Style"/>
          <w:sz w:val="24"/>
          <w:szCs w:val="24"/>
        </w:rPr>
        <w:t>nabav</w:t>
      </w:r>
      <w:r w:rsidR="00C67303" w:rsidRPr="00D06FFD">
        <w:rPr>
          <w:rFonts w:ascii="Bookman Old Style" w:hAnsi="Bookman Old Style"/>
          <w:sz w:val="24"/>
          <w:szCs w:val="24"/>
        </w:rPr>
        <w:t>e</w:t>
      </w:r>
      <w:r w:rsidRPr="00D06FFD">
        <w:rPr>
          <w:rFonts w:ascii="Bookman Old Style" w:hAnsi="Bookman Old Style"/>
          <w:sz w:val="24"/>
          <w:szCs w:val="24"/>
        </w:rPr>
        <w:t xml:space="preserve"> udžbenika trajnog karaktera i dio lektire</w:t>
      </w:r>
      <w:r w:rsidR="00C67303" w:rsidRPr="00D06FFD">
        <w:rPr>
          <w:rFonts w:ascii="Bookman Old Style" w:hAnsi="Bookman Old Style"/>
          <w:sz w:val="24"/>
          <w:szCs w:val="24"/>
        </w:rPr>
        <w:t>.</w:t>
      </w:r>
      <w:r w:rsidR="002400FB" w:rsidRPr="00D06FFD">
        <w:rPr>
          <w:rFonts w:ascii="Bookman Old Style" w:hAnsi="Bookman Old Style"/>
          <w:sz w:val="24"/>
          <w:szCs w:val="24"/>
        </w:rPr>
        <w:t xml:space="preserve">                        </w:t>
      </w:r>
      <w:r w:rsidR="001229B1" w:rsidRPr="00D06FFD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</w:p>
    <w:p w:rsidR="00775870" w:rsidRDefault="00775870" w:rsidP="000B685D">
      <w:pPr>
        <w:pStyle w:val="Odlomakpopisa"/>
        <w:rPr>
          <w:rFonts w:ascii="Bookman Old Style" w:hAnsi="Bookman Old Style"/>
          <w:sz w:val="24"/>
          <w:szCs w:val="24"/>
        </w:rPr>
      </w:pPr>
    </w:p>
    <w:p w:rsidR="000B685D" w:rsidRPr="00775870" w:rsidRDefault="000B685D" w:rsidP="000B685D">
      <w:pPr>
        <w:pStyle w:val="Odlomakpopisa"/>
        <w:rPr>
          <w:rFonts w:ascii="Bookman Old Style" w:hAnsi="Bookman Old Style"/>
          <w:sz w:val="24"/>
          <w:szCs w:val="24"/>
        </w:rPr>
      </w:pPr>
    </w:p>
    <w:p w:rsidR="00FF2A99" w:rsidRPr="00D31FF0" w:rsidRDefault="00B201F5" w:rsidP="00D31FF0">
      <w:pPr>
        <w:pStyle w:val="Odlomakpopisa"/>
        <w:numPr>
          <w:ilvl w:val="0"/>
          <w:numId w:val="9"/>
        </w:numPr>
        <w:spacing w:after="0"/>
        <w:rPr>
          <w:rFonts w:ascii="Bookman Old Style" w:hAnsi="Bookman Old Style" w:cs="Arial"/>
          <w:b/>
          <w:sz w:val="24"/>
          <w:szCs w:val="24"/>
        </w:rPr>
      </w:pPr>
      <w:r w:rsidRPr="00D31FF0">
        <w:rPr>
          <w:rFonts w:ascii="Bookman Old Style" w:hAnsi="Bookman Old Style" w:cs="Arial"/>
          <w:b/>
          <w:sz w:val="24"/>
          <w:szCs w:val="24"/>
        </w:rPr>
        <w:t xml:space="preserve">Preneseni </w:t>
      </w:r>
      <w:r w:rsidR="0091057F">
        <w:rPr>
          <w:rFonts w:ascii="Bookman Old Style" w:hAnsi="Bookman Old Style" w:cs="Arial"/>
          <w:b/>
          <w:sz w:val="24"/>
          <w:szCs w:val="24"/>
        </w:rPr>
        <w:t>višak/manjak</w:t>
      </w:r>
      <w:r w:rsidRPr="00D31FF0">
        <w:rPr>
          <w:rFonts w:ascii="Bookman Old Style" w:hAnsi="Bookman Old Style" w:cs="Arial"/>
          <w:b/>
          <w:sz w:val="24"/>
          <w:szCs w:val="24"/>
        </w:rPr>
        <w:t xml:space="preserve"> iz prethodne godine </w:t>
      </w:r>
    </w:p>
    <w:p w:rsidR="00FF2A99" w:rsidRDefault="00FF2A99" w:rsidP="00FF2A99">
      <w:pPr>
        <w:pStyle w:val="Odlomakpopisa"/>
        <w:spacing w:after="0"/>
        <w:rPr>
          <w:rFonts w:ascii="Bookman Old Style" w:hAnsi="Bookman Old Style" w:cs="Arial"/>
          <w:b/>
          <w:sz w:val="24"/>
          <w:szCs w:val="24"/>
        </w:rPr>
      </w:pPr>
    </w:p>
    <w:p w:rsidR="00FF2A99" w:rsidRDefault="00FF2A99" w:rsidP="00FF2A99">
      <w:pPr>
        <w:pStyle w:val="Odlomakpopisa"/>
        <w:spacing w:after="0"/>
        <w:rPr>
          <w:rFonts w:ascii="Bookman Old Style" w:hAnsi="Bookman Old Style" w:cs="Arial"/>
          <w:b/>
          <w:sz w:val="24"/>
          <w:szCs w:val="24"/>
        </w:rPr>
      </w:pPr>
    </w:p>
    <w:p w:rsidR="00775870" w:rsidRPr="00FF2A99" w:rsidRDefault="0091057F" w:rsidP="00FF2A99">
      <w:pPr>
        <w:spacing w:after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Višak prihoda biti će raspoređen odlukom ravnatelja za nabavu nefinancijske imovine.</w:t>
      </w:r>
    </w:p>
    <w:p w:rsidR="00775870" w:rsidRPr="00775870" w:rsidRDefault="00775870" w:rsidP="00FF2A99">
      <w:pPr>
        <w:pStyle w:val="Bezproreda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775870">
        <w:rPr>
          <w:rFonts w:ascii="Bookman Old Style" w:hAnsi="Bookman Old Style" w:cs="Times New Roman"/>
          <w:sz w:val="24"/>
          <w:szCs w:val="24"/>
        </w:rPr>
        <w:t xml:space="preserve">Pokriće metodološkog manjka ostvareno je uplatama nadležnog </w:t>
      </w:r>
      <w:r w:rsidR="00FF2A99">
        <w:rPr>
          <w:rFonts w:ascii="Bookman Old Style" w:hAnsi="Bookman Old Style" w:cs="Times New Roman"/>
          <w:sz w:val="24"/>
          <w:szCs w:val="24"/>
        </w:rPr>
        <w:t xml:space="preserve">    </w:t>
      </w:r>
      <w:r w:rsidRPr="00775870">
        <w:rPr>
          <w:rFonts w:ascii="Bookman Old Style" w:hAnsi="Bookman Old Style" w:cs="Times New Roman"/>
          <w:sz w:val="24"/>
          <w:szCs w:val="24"/>
        </w:rPr>
        <w:t>proračuna u siječnju 202</w:t>
      </w:r>
      <w:r w:rsidR="0091057F">
        <w:rPr>
          <w:rFonts w:ascii="Bookman Old Style" w:hAnsi="Bookman Old Style" w:cs="Times New Roman"/>
          <w:sz w:val="24"/>
          <w:szCs w:val="24"/>
        </w:rPr>
        <w:t>4</w:t>
      </w:r>
      <w:r w:rsidRPr="00775870">
        <w:rPr>
          <w:rFonts w:ascii="Bookman Old Style" w:hAnsi="Bookman Old Style" w:cs="Times New Roman"/>
          <w:sz w:val="24"/>
          <w:szCs w:val="24"/>
        </w:rPr>
        <w:t>. godine.</w:t>
      </w:r>
    </w:p>
    <w:p w:rsidR="00775870" w:rsidRDefault="00FF2A99" w:rsidP="007758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C52D17" w:rsidRDefault="00C52D17" w:rsidP="00C52D17">
      <w:pPr>
        <w:jc w:val="both"/>
        <w:rPr>
          <w:rFonts w:ascii="Bookman Old Style" w:hAnsi="Bookman Old Style"/>
          <w:sz w:val="24"/>
          <w:szCs w:val="24"/>
        </w:rPr>
      </w:pPr>
    </w:p>
    <w:p w:rsidR="004272FD" w:rsidRPr="004272FD" w:rsidRDefault="00C52D17" w:rsidP="00D31FF0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F2A99">
        <w:rPr>
          <w:rFonts w:ascii="Bookman Old Style" w:hAnsi="Bookman Old Style"/>
          <w:b/>
          <w:color w:val="000000" w:themeColor="text1"/>
          <w:sz w:val="24"/>
          <w:szCs w:val="24"/>
        </w:rPr>
        <w:t>NOVČANA SREDSTVA NA RAČUNU</w:t>
      </w:r>
      <w:r w:rsidR="004272FD">
        <w:rPr>
          <w:rFonts w:ascii="Bookman Old Style" w:hAnsi="Bookman Old Style"/>
          <w:color w:val="000000" w:themeColor="text1"/>
          <w:sz w:val="24"/>
          <w:szCs w:val="24"/>
        </w:rPr>
        <w:t>- (Vlastiti račun)</w:t>
      </w:r>
    </w:p>
    <w:p w:rsidR="00B21E1D" w:rsidRPr="00FF2A99" w:rsidRDefault="00C52D17" w:rsidP="00FF2A99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FF2A99">
        <w:rPr>
          <w:rFonts w:ascii="Bookman Old Style" w:hAnsi="Bookman Old Style"/>
          <w:color w:val="000000" w:themeColor="text1"/>
          <w:sz w:val="24"/>
          <w:szCs w:val="24"/>
        </w:rPr>
        <w:t xml:space="preserve">Stanje na žiro računu na dan 01.01.2023. iznosi </w:t>
      </w:r>
      <w:r w:rsidR="004272FD" w:rsidRPr="00FF2A99">
        <w:rPr>
          <w:rFonts w:ascii="Bookman Old Style" w:hAnsi="Bookman Old Style"/>
          <w:color w:val="000000" w:themeColor="text1"/>
          <w:sz w:val="24"/>
          <w:szCs w:val="24"/>
        </w:rPr>
        <w:t>0,00</w:t>
      </w:r>
      <w:r w:rsidRPr="00FF2A99">
        <w:rPr>
          <w:rFonts w:ascii="Bookman Old Style" w:hAnsi="Bookman Old Style"/>
          <w:color w:val="000000" w:themeColor="text1"/>
          <w:sz w:val="24"/>
          <w:szCs w:val="24"/>
        </w:rPr>
        <w:t xml:space="preserve"> eura, a na dan 31.12.2023. stanje na žiro računu je </w:t>
      </w:r>
      <w:r w:rsidR="004272FD" w:rsidRPr="00FF2A99">
        <w:rPr>
          <w:rFonts w:ascii="Bookman Old Style" w:hAnsi="Bookman Old Style"/>
          <w:color w:val="000000" w:themeColor="text1"/>
          <w:sz w:val="24"/>
          <w:szCs w:val="24"/>
        </w:rPr>
        <w:t>0,0</w:t>
      </w:r>
      <w:r w:rsidR="0091057F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F2A99">
        <w:rPr>
          <w:rFonts w:ascii="Bookman Old Style" w:hAnsi="Bookman Old Style"/>
          <w:color w:val="000000" w:themeColor="text1"/>
          <w:sz w:val="24"/>
          <w:szCs w:val="24"/>
        </w:rPr>
        <w:t xml:space="preserve"> eura. Stanje u blagajni na početku i na kraju proračunske godine je 0,00 eura.</w:t>
      </w:r>
    </w:p>
    <w:p w:rsidR="00B21E1D" w:rsidRPr="00B21E1D" w:rsidRDefault="00B21E1D" w:rsidP="00B21E1D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21E1D" w:rsidRPr="00B21E1D" w:rsidRDefault="00B21E1D" w:rsidP="00D31FF0">
      <w:pPr>
        <w:jc w:val="center"/>
        <w:rPr>
          <w:rFonts w:ascii="Bookman Old Style" w:hAnsi="Bookman Old Style"/>
          <w:sz w:val="24"/>
          <w:szCs w:val="24"/>
        </w:rPr>
      </w:pPr>
    </w:p>
    <w:p w:rsidR="0077140D" w:rsidRPr="000B24B7" w:rsidRDefault="00347942" w:rsidP="00D31FF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="003E47C0" w:rsidRPr="00775870">
        <w:rPr>
          <w:rFonts w:ascii="Bookman Old Style" w:hAnsi="Bookman Old Style"/>
          <w:b/>
          <w:sz w:val="24"/>
          <w:szCs w:val="24"/>
        </w:rPr>
        <w:t>OBRAZLOŽENJE</w:t>
      </w:r>
      <w:r w:rsidR="003E47C0" w:rsidRPr="000B24B7">
        <w:rPr>
          <w:rFonts w:ascii="Bookman Old Style" w:hAnsi="Bookman Old Style"/>
          <w:b/>
          <w:sz w:val="24"/>
          <w:szCs w:val="24"/>
        </w:rPr>
        <w:t xml:space="preserve">  POSEBNOG DIJELA </w:t>
      </w:r>
      <w:r w:rsidR="003F2CC3">
        <w:rPr>
          <w:rFonts w:ascii="Bookman Old Style" w:hAnsi="Bookman Old Style"/>
          <w:b/>
          <w:sz w:val="24"/>
          <w:szCs w:val="24"/>
        </w:rPr>
        <w:t xml:space="preserve">IZVRŠENJA </w:t>
      </w:r>
      <w:r w:rsidR="003E47C0" w:rsidRPr="000B24B7">
        <w:rPr>
          <w:rFonts w:ascii="Bookman Old Style" w:hAnsi="Bookman Old Style"/>
          <w:b/>
          <w:sz w:val="24"/>
          <w:szCs w:val="24"/>
        </w:rPr>
        <w:t>FINANC</w:t>
      </w:r>
      <w:r w:rsidR="000B24B7">
        <w:rPr>
          <w:rFonts w:ascii="Bookman Old Style" w:hAnsi="Bookman Old Style"/>
          <w:b/>
          <w:sz w:val="24"/>
          <w:szCs w:val="24"/>
        </w:rPr>
        <w:t xml:space="preserve">IJSKOG </w:t>
      </w:r>
      <w:r w:rsidR="003E47C0" w:rsidRPr="000B24B7">
        <w:rPr>
          <w:rFonts w:ascii="Bookman Old Style" w:hAnsi="Bookman Old Style"/>
          <w:b/>
          <w:sz w:val="24"/>
          <w:szCs w:val="24"/>
        </w:rPr>
        <w:t>PLANA ZA 2023. GOD.</w:t>
      </w:r>
    </w:p>
    <w:p w:rsidR="0077140D" w:rsidRPr="001517CD" w:rsidRDefault="0077140D" w:rsidP="0077140D">
      <w:pPr>
        <w:rPr>
          <w:rFonts w:ascii="Bookman Old Style" w:hAnsi="Bookman Old Style"/>
          <w:b/>
          <w:sz w:val="24"/>
          <w:szCs w:val="24"/>
        </w:rPr>
      </w:pPr>
      <w:r w:rsidRPr="001517CD">
        <w:rPr>
          <w:rFonts w:ascii="Bookman Old Style" w:hAnsi="Bookman Old Style"/>
          <w:b/>
          <w:sz w:val="24"/>
          <w:szCs w:val="24"/>
        </w:rPr>
        <w:t>SAŽETAK DJELOKRUGA RADA PRORAČUNSKOG KORISNIKA</w:t>
      </w:r>
    </w:p>
    <w:p w:rsidR="0077140D" w:rsidRPr="0077140D" w:rsidRDefault="0077140D" w:rsidP="0077140D">
      <w:pPr>
        <w:jc w:val="both"/>
        <w:rPr>
          <w:rFonts w:ascii="Bookman Old Style" w:hAnsi="Bookman Old Style"/>
          <w:sz w:val="24"/>
          <w:szCs w:val="24"/>
        </w:rPr>
      </w:pPr>
      <w:r w:rsidRPr="0077140D">
        <w:rPr>
          <w:rFonts w:ascii="Bookman Old Style" w:hAnsi="Bookman Old Style"/>
          <w:sz w:val="24"/>
          <w:szCs w:val="24"/>
        </w:rPr>
        <w:t xml:space="preserve">Osnovna škola Rude je osmogodišnja osnovna škola s programom osnovnoškolskog obrazovanja. Matična škola je smještena u </w:t>
      </w:r>
      <w:r w:rsidR="00724426">
        <w:rPr>
          <w:rFonts w:ascii="Bookman Old Style" w:hAnsi="Bookman Old Style"/>
          <w:sz w:val="24"/>
          <w:szCs w:val="24"/>
        </w:rPr>
        <w:t>Svetom Martinu pod Okićem</w:t>
      </w:r>
      <w:r w:rsidRPr="0077140D">
        <w:rPr>
          <w:rFonts w:ascii="Bookman Old Style" w:hAnsi="Bookman Old Style"/>
          <w:sz w:val="24"/>
          <w:szCs w:val="24"/>
        </w:rPr>
        <w:t xml:space="preserve">, </w:t>
      </w:r>
      <w:r w:rsidR="004334DF">
        <w:rPr>
          <w:rFonts w:ascii="Bookman Old Style" w:hAnsi="Bookman Old Style"/>
          <w:sz w:val="24"/>
          <w:szCs w:val="24"/>
        </w:rPr>
        <w:t>dvoran je u sklopu matične škole,</w:t>
      </w:r>
      <w:r w:rsidRPr="0077140D">
        <w:rPr>
          <w:rFonts w:ascii="Bookman Old Style" w:hAnsi="Bookman Old Style"/>
          <w:sz w:val="24"/>
          <w:szCs w:val="24"/>
        </w:rPr>
        <w:t xml:space="preserve"> te vanjsko igralište. </w:t>
      </w:r>
      <w:r w:rsidR="004334DF">
        <w:rPr>
          <w:rFonts w:ascii="Bookman Old Style" w:hAnsi="Bookman Old Style"/>
          <w:sz w:val="24"/>
          <w:szCs w:val="24"/>
        </w:rPr>
        <w:t xml:space="preserve">Osnovna škola Mihaela </w:t>
      </w:r>
      <w:proofErr w:type="spellStart"/>
      <w:r w:rsidR="004334DF">
        <w:rPr>
          <w:rFonts w:ascii="Bookman Old Style" w:hAnsi="Bookman Old Style"/>
          <w:sz w:val="24"/>
          <w:szCs w:val="24"/>
        </w:rPr>
        <w:t>Šiloboda</w:t>
      </w:r>
      <w:proofErr w:type="spellEnd"/>
      <w:r w:rsidR="004334DF">
        <w:rPr>
          <w:rFonts w:ascii="Bookman Old Style" w:hAnsi="Bookman Old Style"/>
          <w:sz w:val="24"/>
          <w:szCs w:val="24"/>
        </w:rPr>
        <w:t xml:space="preserve"> ima tri područne škole. PŠ Klake, PŠ </w:t>
      </w:r>
      <w:proofErr w:type="spellStart"/>
      <w:r w:rsidR="004334DF">
        <w:rPr>
          <w:rFonts w:ascii="Bookman Old Style" w:hAnsi="Bookman Old Style"/>
          <w:sz w:val="24"/>
          <w:szCs w:val="24"/>
        </w:rPr>
        <w:t>Pavučnjak</w:t>
      </w:r>
      <w:proofErr w:type="spellEnd"/>
      <w:r w:rsidR="004334DF">
        <w:rPr>
          <w:rFonts w:ascii="Bookman Old Style" w:hAnsi="Bookman Old Style"/>
          <w:sz w:val="24"/>
          <w:szCs w:val="24"/>
        </w:rPr>
        <w:t xml:space="preserve"> i PŠ Rakov Potok</w:t>
      </w:r>
    </w:p>
    <w:p w:rsidR="0077140D" w:rsidRPr="0077140D" w:rsidRDefault="0077140D" w:rsidP="0077140D">
      <w:pPr>
        <w:jc w:val="both"/>
        <w:rPr>
          <w:rFonts w:ascii="Bookman Old Style" w:hAnsi="Bookman Old Style"/>
          <w:sz w:val="24"/>
          <w:szCs w:val="24"/>
        </w:rPr>
      </w:pPr>
    </w:p>
    <w:p w:rsidR="0077140D" w:rsidRPr="0077140D" w:rsidRDefault="0077140D" w:rsidP="0077140D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7140D">
        <w:rPr>
          <w:rFonts w:ascii="Bookman Old Style" w:hAnsi="Bookman Old Style"/>
          <w:sz w:val="24"/>
          <w:szCs w:val="24"/>
        </w:rPr>
        <w:t xml:space="preserve">Škola zajedno sa svojom područnom školom zapošljava </w:t>
      </w:r>
      <w:r w:rsidR="004334DF">
        <w:rPr>
          <w:rFonts w:ascii="Bookman Old Style" w:hAnsi="Bookman Old Style"/>
          <w:sz w:val="24"/>
          <w:szCs w:val="24"/>
        </w:rPr>
        <w:t>58</w:t>
      </w:r>
      <w:r w:rsidRPr="0077140D">
        <w:rPr>
          <w:rFonts w:ascii="Bookman Old Style" w:hAnsi="Bookman Old Style"/>
          <w:sz w:val="24"/>
          <w:szCs w:val="24"/>
        </w:rPr>
        <w:t xml:space="preserve"> djelatnika od  čega: </w:t>
      </w:r>
      <w:r w:rsidR="004334DF">
        <w:rPr>
          <w:rFonts w:ascii="Bookman Old Style" w:hAnsi="Bookman Old Style"/>
          <w:sz w:val="24"/>
          <w:szCs w:val="24"/>
        </w:rPr>
        <w:t>16</w:t>
      </w:r>
      <w:r w:rsidRPr="0077140D">
        <w:rPr>
          <w:rFonts w:ascii="Bookman Old Style" w:hAnsi="Bookman Old Style"/>
          <w:sz w:val="24"/>
          <w:szCs w:val="24"/>
        </w:rPr>
        <w:t xml:space="preserve"> učitelja razredne nastave, </w:t>
      </w:r>
      <w:r w:rsidR="004334DF">
        <w:rPr>
          <w:rFonts w:ascii="Bookman Old Style" w:hAnsi="Bookman Old Style"/>
          <w:sz w:val="24"/>
          <w:szCs w:val="24"/>
        </w:rPr>
        <w:t xml:space="preserve">23 </w:t>
      </w:r>
      <w:r w:rsidRPr="0077140D">
        <w:rPr>
          <w:rFonts w:ascii="Bookman Old Style" w:hAnsi="Bookman Old Style"/>
          <w:sz w:val="24"/>
          <w:szCs w:val="24"/>
        </w:rPr>
        <w:t xml:space="preserve">učitelja predmetne nastave,  stručni suradnik pedagog, stručni suradnik socijalni pedagog, stručni suradnik knjižničar, </w:t>
      </w:r>
      <w:r w:rsidR="00775870">
        <w:rPr>
          <w:rFonts w:ascii="Bookman Old Style" w:hAnsi="Bookman Old Style"/>
          <w:sz w:val="24"/>
          <w:szCs w:val="24"/>
        </w:rPr>
        <w:t>7</w:t>
      </w:r>
      <w:r w:rsidRPr="0077140D">
        <w:rPr>
          <w:rFonts w:ascii="Bookman Old Style" w:hAnsi="Bookman Old Style"/>
          <w:sz w:val="24"/>
          <w:szCs w:val="24"/>
        </w:rPr>
        <w:t xml:space="preserve"> pomoćnika u nastavi, </w:t>
      </w:r>
      <w:r w:rsidR="004334DF">
        <w:rPr>
          <w:rFonts w:ascii="Bookman Old Style" w:hAnsi="Bookman Old Style"/>
          <w:sz w:val="24"/>
          <w:szCs w:val="24"/>
        </w:rPr>
        <w:t xml:space="preserve">9 </w:t>
      </w:r>
      <w:r w:rsidRPr="0077140D">
        <w:rPr>
          <w:rFonts w:ascii="Bookman Old Style" w:hAnsi="Bookman Old Style"/>
          <w:sz w:val="24"/>
          <w:szCs w:val="24"/>
        </w:rPr>
        <w:t xml:space="preserve">ostalih djelatnika. </w:t>
      </w:r>
      <w:r w:rsidRPr="0077140D">
        <w:rPr>
          <w:rFonts w:ascii="Bookman Old Style" w:hAnsi="Bookman Old Style"/>
          <w:color w:val="000000" w:themeColor="text1"/>
          <w:sz w:val="24"/>
          <w:szCs w:val="24"/>
        </w:rPr>
        <w:t xml:space="preserve">Nastava se odvija u deset  razrednih odjela matične škole koje pohađaju ukupno </w:t>
      </w:r>
      <w:r w:rsidR="004334DF">
        <w:rPr>
          <w:rFonts w:ascii="Bookman Old Style" w:hAnsi="Bookman Old Style"/>
          <w:color w:val="000000" w:themeColor="text1"/>
          <w:sz w:val="24"/>
          <w:szCs w:val="24"/>
        </w:rPr>
        <w:t>325</w:t>
      </w:r>
      <w:r w:rsidRPr="0077140D">
        <w:rPr>
          <w:rFonts w:ascii="Bookman Old Style" w:hAnsi="Bookman Old Style"/>
          <w:color w:val="000000" w:themeColor="text1"/>
          <w:sz w:val="24"/>
          <w:szCs w:val="24"/>
        </w:rPr>
        <w:t xml:space="preserve"> učenik</w:t>
      </w:r>
      <w:r w:rsidR="00775870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77140D">
        <w:rPr>
          <w:rFonts w:ascii="Bookman Old Style" w:hAnsi="Bookman Old Style"/>
          <w:color w:val="000000" w:themeColor="text1"/>
          <w:sz w:val="24"/>
          <w:szCs w:val="24"/>
        </w:rPr>
        <w:t xml:space="preserve">, u jutarnjoj smjeni, u petodnevnom radnom tjednu.  U skladu s načelima odgoja i obrazovanja, uz </w:t>
      </w:r>
      <w:r w:rsidRPr="0077140D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poticanje cjelokupnog razvoja učenika u Osnovnoj školi </w:t>
      </w:r>
      <w:r w:rsidR="004334DF">
        <w:rPr>
          <w:rFonts w:ascii="Bookman Old Style" w:hAnsi="Bookman Old Style"/>
          <w:color w:val="000000" w:themeColor="text1"/>
          <w:sz w:val="24"/>
          <w:szCs w:val="24"/>
        </w:rPr>
        <w:t xml:space="preserve">Mihaela </w:t>
      </w:r>
      <w:proofErr w:type="spellStart"/>
      <w:r w:rsidR="004334DF">
        <w:rPr>
          <w:rFonts w:ascii="Bookman Old Style" w:hAnsi="Bookman Old Style"/>
          <w:color w:val="000000" w:themeColor="text1"/>
          <w:sz w:val="24"/>
          <w:szCs w:val="24"/>
        </w:rPr>
        <w:t>Šiloboda</w:t>
      </w:r>
      <w:proofErr w:type="spellEnd"/>
      <w:r w:rsidRPr="0077140D">
        <w:rPr>
          <w:rFonts w:ascii="Bookman Old Style" w:hAnsi="Bookman Old Style"/>
          <w:color w:val="000000" w:themeColor="text1"/>
          <w:sz w:val="24"/>
          <w:szCs w:val="24"/>
        </w:rPr>
        <w:t xml:space="preserve"> izdvajamo sljedeće ciljeve: </w:t>
      </w:r>
    </w:p>
    <w:p w:rsidR="0077140D" w:rsidRPr="0077140D" w:rsidRDefault="0077140D" w:rsidP="0077140D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77140D" w:rsidRPr="0077140D" w:rsidRDefault="0077140D" w:rsidP="004272FD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7140D">
        <w:rPr>
          <w:rFonts w:ascii="Bookman Old Style" w:hAnsi="Bookman Old Style"/>
          <w:color w:val="000000" w:themeColor="text1"/>
          <w:sz w:val="24"/>
          <w:szCs w:val="24"/>
        </w:rPr>
        <w:t xml:space="preserve">odgajati i obrazovati učenike u skladu s vrijednostima koje izviru iz europske i nacionalne tradicije, </w:t>
      </w:r>
      <w:proofErr w:type="spellStart"/>
      <w:r w:rsidRPr="0077140D">
        <w:rPr>
          <w:rFonts w:ascii="Bookman Old Style" w:hAnsi="Bookman Old Style"/>
          <w:color w:val="000000" w:themeColor="text1"/>
          <w:sz w:val="24"/>
          <w:szCs w:val="24"/>
        </w:rPr>
        <w:t>interkulturalnih</w:t>
      </w:r>
      <w:proofErr w:type="spellEnd"/>
      <w:r w:rsidRPr="0077140D">
        <w:rPr>
          <w:rFonts w:ascii="Bookman Old Style" w:hAnsi="Bookman Old Style"/>
          <w:color w:val="000000" w:themeColor="text1"/>
          <w:sz w:val="24"/>
          <w:szCs w:val="24"/>
        </w:rPr>
        <w:t xml:space="preserve"> zahtjeva i ljudskih prava  </w:t>
      </w:r>
    </w:p>
    <w:p w:rsidR="0077140D" w:rsidRPr="0077140D" w:rsidRDefault="0077140D" w:rsidP="004272F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7140D">
        <w:rPr>
          <w:rFonts w:ascii="Bookman Old Style" w:hAnsi="Bookman Old Style"/>
          <w:color w:val="000000" w:themeColor="text1"/>
          <w:sz w:val="24"/>
          <w:szCs w:val="24"/>
        </w:rPr>
        <w:t xml:space="preserve">osposobljavati učenike za život i rad u promjenjivom društveno-kulturnom kontekstu, u skladu sa suvremenim znanstvenim spoznajama, pluralističkim vrijednostima, moralno-etičkim načelima i suvremenim informacijsko-komunikacijskim tehnologijama. </w:t>
      </w:r>
    </w:p>
    <w:p w:rsidR="0077140D" w:rsidRPr="0077140D" w:rsidRDefault="0077140D" w:rsidP="0077140D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7140D" w:rsidRPr="0077140D" w:rsidRDefault="0077140D" w:rsidP="0077140D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7140D">
        <w:rPr>
          <w:rFonts w:ascii="Bookman Old Style" w:hAnsi="Bookman Old Style"/>
          <w:color w:val="000000" w:themeColor="text1"/>
          <w:sz w:val="24"/>
          <w:szCs w:val="24"/>
        </w:rPr>
        <w:t>Navedeni ciljevi ostvaruju se kroz redovnu, izbornu, dodatnu i dopunsku nastavu, izvannastavne te izvanškolske aktivnosti, prema Godišnjem planu i programu rada, Školskom kurikulumu i propisanim planovima i programima nastavnih predmeta koje je donijelo Ministarstva znanosti i obrazovanja.</w:t>
      </w:r>
    </w:p>
    <w:p w:rsidR="0077140D" w:rsidRPr="0077140D" w:rsidRDefault="0077140D" w:rsidP="0077140D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725B74" w:rsidRDefault="0077140D" w:rsidP="00D77D4F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77140D">
        <w:rPr>
          <w:rFonts w:ascii="Bookman Old Style" w:hAnsi="Bookman Old Style"/>
          <w:sz w:val="24"/>
          <w:szCs w:val="24"/>
        </w:rPr>
        <w:t xml:space="preserve">Na opravdanost navedenih aktivnosti ukazuju pokazatelji rezultata koji indiciraju na uspješnost cjelokupnog odgojno-obrazovnog rada; npr. uspjeh učenika na natjecanjima iz znanja pojedinih predmeta te uspjeh učenika na kraju osnovnoškolskog obrazovanja. Sve aktivnosti u skladu su sa Zakonom o odgoju i obrazovanju u osnovnoj i srednjoj školi i </w:t>
      </w:r>
      <w:proofErr w:type="spellStart"/>
      <w:r w:rsidRPr="0077140D">
        <w:rPr>
          <w:rFonts w:ascii="Bookman Old Style" w:hAnsi="Bookman Old Style"/>
          <w:sz w:val="24"/>
          <w:szCs w:val="24"/>
        </w:rPr>
        <w:t>podzakonskim</w:t>
      </w:r>
      <w:proofErr w:type="spellEnd"/>
      <w:r w:rsidRPr="0077140D">
        <w:rPr>
          <w:rFonts w:ascii="Bookman Old Style" w:hAnsi="Bookman Old Style"/>
          <w:sz w:val="24"/>
          <w:szCs w:val="24"/>
        </w:rPr>
        <w:t xml:space="preserve"> aktima, uključujući i smjernice o provedbi Građanskog odgoja i obrazovanja. </w:t>
      </w:r>
    </w:p>
    <w:p w:rsidR="00D72ABC" w:rsidRDefault="00D72ABC" w:rsidP="00D77D4F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D72ABC" w:rsidRPr="008005DD" w:rsidRDefault="00D72ABC" w:rsidP="00D72ABC">
      <w:pPr>
        <w:rPr>
          <w:rFonts w:ascii="Bookman Old Style" w:hAnsi="Bookman Old Style"/>
          <w:b/>
        </w:rPr>
      </w:pPr>
      <w:r w:rsidRPr="008005DD">
        <w:rPr>
          <w:rFonts w:ascii="Bookman Old Style" w:hAnsi="Bookman Old Style"/>
          <w:b/>
        </w:rPr>
        <w:t xml:space="preserve">Proračunski korisnik </w:t>
      </w:r>
      <w:r w:rsidR="004334DF">
        <w:rPr>
          <w:rFonts w:ascii="Bookman Old Style" w:hAnsi="Bookman Old Style"/>
          <w:b/>
        </w:rPr>
        <w:t xml:space="preserve">Osnovna škola Mihaela </w:t>
      </w:r>
      <w:proofErr w:type="spellStart"/>
      <w:r w:rsidR="004334DF">
        <w:rPr>
          <w:rFonts w:ascii="Bookman Old Style" w:hAnsi="Bookman Old Style"/>
          <w:b/>
        </w:rPr>
        <w:t>Šiloboda</w:t>
      </w:r>
      <w:proofErr w:type="spellEnd"/>
    </w:p>
    <w:p w:rsidR="00D72ABC" w:rsidRPr="008005DD" w:rsidRDefault="00D72ABC" w:rsidP="00D72ABC">
      <w:pPr>
        <w:rPr>
          <w:rFonts w:ascii="Bookman Old Style" w:hAnsi="Bookman Old Style"/>
          <w:b/>
        </w:rPr>
      </w:pPr>
      <w:r w:rsidRPr="008005DD">
        <w:rPr>
          <w:rFonts w:ascii="Bookman Old Style" w:hAnsi="Bookman Old Style"/>
          <w:b/>
        </w:rPr>
        <w:t>Program 4070 DECENTRALIZIRANE FUNKCIJE</w:t>
      </w:r>
    </w:p>
    <w:p w:rsidR="00D72ABC" w:rsidRPr="008005DD" w:rsidRDefault="00D72ABC" w:rsidP="00D72ABC">
      <w:pPr>
        <w:rPr>
          <w:rFonts w:ascii="Bookman Old Style" w:hAnsi="Bookman Old Style"/>
          <w:b/>
        </w:rPr>
      </w:pPr>
    </w:p>
    <w:p w:rsidR="00D72ABC" w:rsidRPr="008005DD" w:rsidRDefault="00D72ABC" w:rsidP="00D72ABC">
      <w:pPr>
        <w:ind w:firstLine="708"/>
        <w:jc w:val="both"/>
        <w:rPr>
          <w:rFonts w:ascii="Bookman Old Style" w:hAnsi="Bookman Old Style"/>
        </w:rPr>
      </w:pPr>
      <w:r w:rsidRPr="008005DD">
        <w:rPr>
          <w:rFonts w:ascii="Bookman Old Style" w:hAnsi="Bookman Old Style"/>
          <w:b/>
          <w:i/>
        </w:rPr>
        <w:t>Opći i posebni cilj:</w:t>
      </w:r>
      <w:r w:rsidRPr="008005DD">
        <w:rPr>
          <w:rFonts w:ascii="Bookman Old Style" w:hAnsi="Bookman Old Style"/>
        </w:rPr>
        <w:t xml:space="preserve">  Svim učenicima omogućiti stjecanje kvalitetnog obrazovanja i uspješnog razvoja potencijalnih sposobnosti pod jednakim uvjetima.</w:t>
      </w:r>
    </w:p>
    <w:p w:rsidR="00D72ABC" w:rsidRPr="008005DD" w:rsidRDefault="00D72ABC" w:rsidP="00D72ABC">
      <w:pPr>
        <w:ind w:firstLine="708"/>
        <w:jc w:val="both"/>
        <w:rPr>
          <w:rFonts w:ascii="Bookman Old Style" w:hAnsi="Bookman Old Style"/>
        </w:rPr>
      </w:pPr>
      <w:r w:rsidRPr="008005DD">
        <w:rPr>
          <w:rFonts w:ascii="Bookman Old Style" w:hAnsi="Bookman Old Style"/>
        </w:rPr>
        <w:t>Ustanovama školstva osigurati uvjete rada sukladno zakonskom minimalnom financijskom standardu te racionalnim gospodarenjem raspoloživim sredstvima omogućiti zadržavanje postojećeg stanja. Posebnu pažnju obratiti područjima gdje ustanove djeluju u otežanim uvjetima (područne škole).</w:t>
      </w:r>
    </w:p>
    <w:p w:rsidR="00D72ABC" w:rsidRPr="008005DD" w:rsidRDefault="00D72ABC" w:rsidP="00D72ABC">
      <w:pPr>
        <w:jc w:val="both"/>
        <w:rPr>
          <w:rFonts w:ascii="Bookman Old Style" w:hAnsi="Bookman Old Sty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603"/>
        <w:gridCol w:w="1276"/>
        <w:gridCol w:w="728"/>
        <w:gridCol w:w="58"/>
        <w:gridCol w:w="535"/>
        <w:gridCol w:w="1416"/>
      </w:tblGrid>
      <w:tr w:rsidR="00D72ABC" w:rsidRPr="008005DD" w:rsidTr="00CC208F">
        <w:trPr>
          <w:trHeight w:val="255"/>
        </w:trPr>
        <w:tc>
          <w:tcPr>
            <w:tcW w:w="1447" w:type="dxa"/>
            <w:vMerge w:val="restart"/>
            <w:vAlign w:val="center"/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Aktivnost</w:t>
            </w:r>
          </w:p>
        </w:tc>
        <w:tc>
          <w:tcPr>
            <w:tcW w:w="3656" w:type="dxa"/>
            <w:vMerge w:val="restart"/>
            <w:vAlign w:val="center"/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Materijalni rashodi</w:t>
            </w:r>
          </w:p>
        </w:tc>
        <w:tc>
          <w:tcPr>
            <w:tcW w:w="2029" w:type="dxa"/>
            <w:gridSpan w:val="3"/>
            <w:vAlign w:val="center"/>
            <w:hideMark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rPr>
          <w:trHeight w:val="309"/>
        </w:trPr>
        <w:tc>
          <w:tcPr>
            <w:tcW w:w="1447" w:type="dxa"/>
            <w:vMerge/>
            <w:vAlign w:val="center"/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56" w:type="dxa"/>
            <w:vMerge/>
            <w:vAlign w:val="center"/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29" w:type="dxa"/>
            <w:gridSpan w:val="3"/>
            <w:vAlign w:val="center"/>
            <w:hideMark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1.195.219,00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1.189.126,79</w:t>
            </w:r>
          </w:p>
        </w:tc>
      </w:tr>
      <w:tr w:rsidR="00D72ABC" w:rsidRPr="008005DD" w:rsidTr="00CC208F">
        <w:trPr>
          <w:trHeight w:val="283"/>
        </w:trPr>
        <w:tc>
          <w:tcPr>
            <w:tcW w:w="1447" w:type="dxa"/>
            <w:vAlign w:val="center"/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lastRenderedPageBreak/>
              <w:t>Izvještaj o postignutim ciljevima</w:t>
            </w:r>
          </w:p>
        </w:tc>
        <w:tc>
          <w:tcPr>
            <w:tcW w:w="7625" w:type="dxa"/>
            <w:gridSpan w:val="6"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  <w:bCs/>
              </w:rPr>
              <w:t xml:space="preserve"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Republike Hrvatske donosi za svaku godinu. </w:t>
            </w:r>
            <w:r>
              <w:rPr>
                <w:rFonts w:ascii="Bookman Old Style" w:hAnsi="Bookman Old Style"/>
                <w:bCs/>
              </w:rPr>
              <w:t xml:space="preserve">             </w:t>
            </w:r>
            <w:r w:rsidRPr="008005DD">
              <w:rPr>
                <w:rFonts w:ascii="Bookman Old Style" w:hAnsi="Bookman Old Style"/>
              </w:rPr>
              <w:t>Grad Samobor osigurava i dodatna financijska sredstva koja su nedostatna za osiguravanje minimalnog financijskog standarda u školstvu, odnosno za ostvarenje temeljnog programa. Unutar ove aktivnosti planirana su i sredstva za udžbenike radnog karaktera koji se financiraju sredstvima Ministarstva znanosti i obrazovanja.</w:t>
            </w:r>
          </w:p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8005DD">
              <w:rPr>
                <w:rFonts w:ascii="Bookman Old Style" w:eastAsiaTheme="minorHAnsi" w:hAnsi="Bookman Old Style"/>
              </w:rPr>
              <w:t xml:space="preserve">Također, unutar ove aktivnosti </w:t>
            </w:r>
            <w:r w:rsidRPr="008005DD">
              <w:rPr>
                <w:rFonts w:ascii="Bookman Old Style" w:hAnsi="Bookman Old Style"/>
              </w:rPr>
              <w:t>planirana su i sredstva iz vlastitih izvora osnovne škole za nabavu uredskog  materijala i materijala za tekuće i investicijsko održavanje škole.</w:t>
            </w:r>
          </w:p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Ishodište za raspodjelu sredstava temelji se na stvarnim troškovima iz prethodnih godina te iskazanim potrebama proračunskog korisnika</w:t>
            </w:r>
          </w:p>
          <w:p w:rsidR="00D72ABC" w:rsidRPr="008005DD" w:rsidRDefault="00D72ABC" w:rsidP="00CC208F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D72ABC" w:rsidRPr="008005DD" w:rsidTr="00CC208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Aktivnost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:rsidR="00D72ABC" w:rsidRPr="008005DD" w:rsidRDefault="00D72ABC" w:rsidP="00831A6E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 xml:space="preserve">Rashodi za zaposlene - OŠ </w:t>
            </w:r>
            <w:r w:rsidR="00831A6E">
              <w:rPr>
                <w:rFonts w:ascii="Bookman Old Style" w:hAnsi="Bookman Old Style"/>
                <w:b/>
              </w:rPr>
              <w:t xml:space="preserve">Mihaela </w:t>
            </w:r>
            <w:proofErr w:type="spellStart"/>
            <w:r w:rsidR="00831A6E">
              <w:rPr>
                <w:rFonts w:ascii="Bookman Old Style" w:hAnsi="Bookman Old Style"/>
                <w:b/>
              </w:rPr>
              <w:t>Šiloboda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3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1.004.670,00</w:t>
            </w:r>
          </w:p>
        </w:tc>
        <w:tc>
          <w:tcPr>
            <w:tcW w:w="1984" w:type="dxa"/>
            <w:gridSpan w:val="3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1.020.408,95</w:t>
            </w:r>
          </w:p>
        </w:tc>
      </w:tr>
      <w:tr w:rsidR="00D72ABC" w:rsidRPr="008005DD" w:rsidTr="00CC208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47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6"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U ovoj aktivnosti planiraju se plaće i ostali rashodi za zaposlene u školi, a isti se financiraju iz državnog proračuna na teret nadležnog ministarstva.</w:t>
            </w:r>
          </w:p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Ishodište planiranih sredstava temeljilo se na broju zaposlenih učitelja i tehničko-administrativnog osoblja u školama te procjeni troškova za njihove plaće i ostala materijalna prava, sukladno kolektivnom ugovoru. U izvještajnom razdoblju, rashodi su izvršeni sukladno stvarnim potrebama.</w:t>
            </w:r>
          </w:p>
        </w:tc>
      </w:tr>
      <w:tr w:rsidR="00D72ABC" w:rsidRPr="008005DD" w:rsidTr="00CC208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Kapitalni projekt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Ulaganja na materijalnoj imovini</w:t>
            </w:r>
          </w:p>
        </w:tc>
        <w:tc>
          <w:tcPr>
            <w:tcW w:w="1985" w:type="dxa"/>
            <w:gridSpan w:val="2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39.796,00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38.170,62</w:t>
            </w:r>
          </w:p>
        </w:tc>
      </w:tr>
      <w:tr w:rsidR="00D72ABC" w:rsidRPr="008005DD" w:rsidTr="00CC208F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447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ABC" w:rsidRPr="008B0F66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  <w:bCs/>
              </w:rPr>
              <w:t>U</w:t>
            </w:r>
            <w:r w:rsidRPr="008B0F66">
              <w:rPr>
                <w:rFonts w:ascii="Bookman Old Style" w:hAnsi="Bookman Old Style"/>
                <w:bCs/>
              </w:rPr>
              <w:t xml:space="preserve"> sklopu projekta planirana su sredstva za opremanje učionica, nabavu informatičke opreme i nabavu knjiga za školsku knjižnicu na teret općih prihoda i primitaka Grada Samobora te za nabavu udžbenika trajnog karaktera i obvezne lektire na teret Ministarstva znanosti i obrazovanja, a temeljem iskazanih potreba proračunskog korisnika. </w:t>
            </w:r>
            <w:r w:rsidRPr="008B0F66">
              <w:rPr>
                <w:rFonts w:ascii="Bookman Old Style" w:hAnsi="Bookman Old Style"/>
              </w:rPr>
              <w:t>Također, planirana je nabava računalne opreme.</w:t>
            </w:r>
          </w:p>
          <w:p w:rsidR="00D72ABC" w:rsidRPr="008005DD" w:rsidRDefault="00D72ABC" w:rsidP="00CC208F">
            <w:pPr>
              <w:jc w:val="both"/>
              <w:rPr>
                <w:rFonts w:ascii="Bookman Old Style" w:hAnsi="Bookman Old Style"/>
                <w:bCs/>
              </w:rPr>
            </w:pPr>
            <w:r w:rsidRPr="008B0F66">
              <w:rPr>
                <w:rFonts w:ascii="Bookman Old Style" w:hAnsi="Bookman Old Style"/>
              </w:rPr>
              <w:lastRenderedPageBreak/>
              <w:t>Ishodište za planirane rashode temelji se na stvarnim potrebama proračunskog korisnika.</w:t>
            </w:r>
          </w:p>
        </w:tc>
      </w:tr>
      <w:tr w:rsidR="00D72ABC" w:rsidRPr="008005DD" w:rsidTr="00CC208F"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eastAsia="Calibri" w:hAnsi="Bookman Old Style"/>
                <w:b/>
                <w:bCs/>
              </w:rPr>
            </w:pPr>
            <w:r w:rsidRPr="008005DD">
              <w:rPr>
                <w:rFonts w:ascii="Bookman Old Style" w:eastAsia="Calibri" w:hAnsi="Bookman Old Style"/>
                <w:b/>
                <w:bCs/>
              </w:rPr>
              <w:lastRenderedPageBreak/>
              <w:t>Pokazatelj uspješnosti</w:t>
            </w: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eastAsia="Calibri" w:hAnsi="Bookman Old Style"/>
                <w:b/>
                <w:bCs/>
              </w:rPr>
            </w:pPr>
            <w:r w:rsidRPr="008005DD">
              <w:rPr>
                <w:rFonts w:ascii="Bookman Old Style" w:eastAsia="Calibri" w:hAnsi="Bookman Old Style"/>
                <w:b/>
                <w:bCs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keepNext/>
              <w:jc w:val="center"/>
              <w:outlineLvl w:val="6"/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Jedinica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Ciljana vrijednost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keepNext/>
              <w:outlineLvl w:val="6"/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Ostvareno</w:t>
            </w:r>
          </w:p>
        </w:tc>
      </w:tr>
      <w:tr w:rsidR="00D72ABC" w:rsidRPr="008005DD" w:rsidTr="00CC208F">
        <w:trPr>
          <w:trHeight w:val="1433"/>
        </w:trPr>
        <w:tc>
          <w:tcPr>
            <w:tcW w:w="1447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učenika</w:t>
            </w:r>
          </w:p>
        </w:tc>
        <w:tc>
          <w:tcPr>
            <w:tcW w:w="3656" w:type="dxa"/>
            <w:shd w:val="clear" w:color="auto" w:fill="auto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72ABC" w:rsidRPr="008005DD" w:rsidRDefault="00831A6E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ABC" w:rsidRPr="008005DD" w:rsidRDefault="00831A6E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325</w:t>
            </w:r>
          </w:p>
        </w:tc>
      </w:tr>
      <w:tr w:rsidR="00D72ABC" w:rsidRPr="008005DD" w:rsidTr="00CC208F">
        <w:trPr>
          <w:trHeight w:val="1433"/>
        </w:trPr>
        <w:tc>
          <w:tcPr>
            <w:tcW w:w="1447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zaposlenih na teret državnog proračuna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Osiguranjem sredstava za rashode za zaposlene omogućuje se ostvarivanje prava na osnovnoškolsko obrazovanje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72ABC" w:rsidRPr="008005DD" w:rsidRDefault="00831A6E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ABC" w:rsidRPr="008005DD" w:rsidRDefault="00831A6E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</w:p>
        </w:tc>
      </w:tr>
    </w:tbl>
    <w:p w:rsidR="00D72ABC" w:rsidRPr="008005DD" w:rsidRDefault="00D72ABC" w:rsidP="00D72ABC">
      <w:pPr>
        <w:rPr>
          <w:rFonts w:ascii="Bookman Old Style" w:hAnsi="Bookman Old Style"/>
        </w:rPr>
      </w:pPr>
    </w:p>
    <w:p w:rsidR="00D72ABC" w:rsidRPr="008005DD" w:rsidRDefault="00D72ABC" w:rsidP="00D72ABC">
      <w:pPr>
        <w:jc w:val="both"/>
        <w:rPr>
          <w:rFonts w:ascii="Bookman Old Style" w:hAnsi="Bookman Old Style"/>
          <w:b/>
        </w:rPr>
      </w:pPr>
      <w:r w:rsidRPr="008005DD">
        <w:rPr>
          <w:rFonts w:ascii="Bookman Old Style" w:hAnsi="Bookman Old Style"/>
          <w:b/>
        </w:rPr>
        <w:t>Program 4071 DODATNE POTREBE U OSNOVNOM ŠKOLSTVU</w:t>
      </w:r>
    </w:p>
    <w:p w:rsidR="00D72ABC" w:rsidRPr="008005DD" w:rsidRDefault="00D72ABC" w:rsidP="00D72ABC">
      <w:pPr>
        <w:jc w:val="both"/>
        <w:rPr>
          <w:rFonts w:ascii="Bookman Old Style" w:hAnsi="Bookman Old Style"/>
          <w:b/>
        </w:rPr>
      </w:pPr>
    </w:p>
    <w:p w:rsidR="00D72ABC" w:rsidRPr="008005DD" w:rsidRDefault="00D72ABC" w:rsidP="00D72ABC">
      <w:pPr>
        <w:ind w:firstLine="708"/>
        <w:jc w:val="both"/>
        <w:rPr>
          <w:rFonts w:ascii="Bookman Old Style" w:hAnsi="Bookman Old Style"/>
        </w:rPr>
      </w:pPr>
      <w:r w:rsidRPr="008005DD">
        <w:rPr>
          <w:rFonts w:ascii="Bookman Old Style" w:hAnsi="Bookman Old Style"/>
          <w:b/>
          <w:i/>
        </w:rPr>
        <w:t>Opći i posebni cilj:</w:t>
      </w:r>
      <w:r w:rsidRPr="008005DD">
        <w:rPr>
          <w:rFonts w:ascii="Bookman Old Style" w:hAnsi="Bookman Old Style"/>
        </w:rPr>
        <w:t xml:space="preserve"> Omogućiti stjecanje znanja i vještina učenika prema njihovim potrebama i interesima te uvjetima i programima koje pojedina škola može ponuditi.</w:t>
      </w:r>
    </w:p>
    <w:p w:rsidR="00D72ABC" w:rsidRPr="008005DD" w:rsidRDefault="00D72ABC" w:rsidP="00D72ABC">
      <w:pPr>
        <w:ind w:firstLine="708"/>
        <w:jc w:val="both"/>
        <w:rPr>
          <w:rFonts w:ascii="Bookman Old Style" w:hAnsi="Bookman Old Style"/>
        </w:rPr>
      </w:pPr>
      <w:r w:rsidRPr="008005DD">
        <w:rPr>
          <w:rFonts w:ascii="Bookman Old Style" w:hAnsi="Bookman Old Style"/>
        </w:rPr>
        <w:t>Zadovoljiti specifične potrebe pojedinih grupacija učenika (učenika s teškoćama, darovitih učenika, učenika-putnika), poboljšati sigurnost u školama, društveno promovirati djelatnost, poboljšati prostorne uvjete rada.</w:t>
      </w:r>
    </w:p>
    <w:p w:rsidR="00D72ABC" w:rsidRPr="008005DD" w:rsidRDefault="00D72ABC" w:rsidP="00D72ABC">
      <w:pPr>
        <w:ind w:firstLine="708"/>
        <w:jc w:val="both"/>
        <w:rPr>
          <w:rFonts w:ascii="Bookman Old Style" w:hAnsi="Bookman Old Style"/>
        </w:rPr>
      </w:pPr>
      <w:r w:rsidRPr="008005DD">
        <w:rPr>
          <w:rFonts w:ascii="Bookman Old Style" w:hAnsi="Bookman Old Style"/>
        </w:rPr>
        <w:t>Provedbeni program Grada Samobora za razdoblje 2021. – 2025. (Službene vijesti Grada Samobora br. 7/21) – razvojna mjera: 4. Odgoj i obrazovanje.</w:t>
      </w:r>
    </w:p>
    <w:p w:rsidR="00D72ABC" w:rsidRPr="008005DD" w:rsidRDefault="00D72ABC" w:rsidP="00D72ABC">
      <w:pPr>
        <w:ind w:firstLine="708"/>
        <w:jc w:val="both"/>
        <w:rPr>
          <w:rFonts w:ascii="Bookman Old Style" w:hAnsi="Bookman Old Style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21"/>
        <w:gridCol w:w="2694"/>
        <w:gridCol w:w="141"/>
        <w:gridCol w:w="1276"/>
        <w:gridCol w:w="709"/>
        <w:gridCol w:w="567"/>
        <w:gridCol w:w="1417"/>
      </w:tblGrid>
      <w:tr w:rsidR="00D72ABC" w:rsidRPr="008005DD" w:rsidTr="00CC208F">
        <w:trPr>
          <w:trHeight w:val="326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Aktivnost</w:t>
            </w:r>
          </w:p>
        </w:tc>
        <w:tc>
          <w:tcPr>
            <w:tcW w:w="3656" w:type="dxa"/>
            <w:gridSpan w:val="3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Izborna nastava i ostale izvannastavne aktivnosti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2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3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456.371,00</w:t>
            </w:r>
          </w:p>
        </w:tc>
        <w:tc>
          <w:tcPr>
            <w:tcW w:w="1984" w:type="dxa"/>
            <w:gridSpan w:val="2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372.328,25</w:t>
            </w:r>
          </w:p>
        </w:tc>
      </w:tr>
      <w:tr w:rsidR="00D72ABC" w:rsidRPr="008005DD" w:rsidTr="00CC208F">
        <w:trPr>
          <w:trHeight w:val="412"/>
        </w:trPr>
        <w:tc>
          <w:tcPr>
            <w:tcW w:w="1447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7"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  <w:bCs/>
              </w:rPr>
            </w:pPr>
            <w:r w:rsidRPr="008005DD">
              <w:rPr>
                <w:rFonts w:ascii="Bookman Old Style" w:hAnsi="Bookman Old Style"/>
                <w:bCs/>
              </w:rPr>
              <w:t xml:space="preserve">Grad Samobor osigurao je financijska sredstva za financiranje širih javnih potreba u osnovnim školama. Cilj jest podizanje standarda učeničkog obrazovanja. Unutar ove aktivnosti podmiruju se svi rashodi vezani uz izvannastavne aktivnosti učenika te provedbu sportskih i drugih natjecanja koje organiziraju samoborske osnovne škole odnosno na kojima sudjeluju učenici osnovnih škola Grada Samobora, kao i rashodi vezani uz organizaciju i provedbu programa za Fašnik i program </w:t>
            </w:r>
            <w:proofErr w:type="spellStart"/>
            <w:r w:rsidRPr="008005DD">
              <w:rPr>
                <w:rFonts w:ascii="Bookman Old Style" w:hAnsi="Bookman Old Style"/>
                <w:bCs/>
              </w:rPr>
              <w:t>Jumicar</w:t>
            </w:r>
            <w:proofErr w:type="spellEnd"/>
            <w:r w:rsidRPr="008005DD">
              <w:rPr>
                <w:rFonts w:ascii="Bookman Old Style" w:hAnsi="Bookman Old Style"/>
                <w:bCs/>
              </w:rPr>
              <w:t xml:space="preserve">. Isti su se uz opće prihode i primitke Grada Samobora financirali i prihodima od donacija. U izvještajnom razdoblju sredstva su realizirana </w:t>
            </w:r>
            <w:r w:rsidRPr="008005DD">
              <w:rPr>
                <w:rFonts w:ascii="Bookman Old Style" w:hAnsi="Bookman Old Style"/>
                <w:bCs/>
              </w:rPr>
              <w:lastRenderedPageBreak/>
              <w:t>sukladno stvarnim troškovima i broju učenika korisnika programa, kao i mogućnostima provedbe određenih aktivnosti.</w:t>
            </w:r>
          </w:p>
        </w:tc>
      </w:tr>
      <w:tr w:rsidR="00D72ABC" w:rsidRPr="008005DD" w:rsidTr="00CC208F">
        <w:trPr>
          <w:trHeight w:val="27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lastRenderedPageBreak/>
              <w:t xml:space="preserve">Aktivnost </w:t>
            </w:r>
          </w:p>
        </w:tc>
        <w:tc>
          <w:tcPr>
            <w:tcW w:w="3656" w:type="dxa"/>
            <w:gridSpan w:val="3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Produženi boravak i školska prehrana</w:t>
            </w:r>
          </w:p>
        </w:tc>
        <w:tc>
          <w:tcPr>
            <w:tcW w:w="1985" w:type="dxa"/>
            <w:gridSpan w:val="2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3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290.900,00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255.503,05</w:t>
            </w:r>
          </w:p>
        </w:tc>
      </w:tr>
      <w:tr w:rsidR="00D72ABC" w:rsidRPr="008005DD" w:rsidTr="00CC208F">
        <w:trPr>
          <w:trHeight w:val="837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ABC" w:rsidRPr="00730617" w:rsidRDefault="00D72ABC" w:rsidP="00CC208F">
            <w:pPr>
              <w:jc w:val="both"/>
              <w:rPr>
                <w:rFonts w:ascii="Bookman Old Style" w:eastAsia="Calibri" w:hAnsi="Bookman Old Style"/>
              </w:rPr>
            </w:pPr>
            <w:r w:rsidRPr="00730617">
              <w:rPr>
                <w:rFonts w:ascii="Bookman Old Style" w:eastAsia="Calibri" w:hAnsi="Bookman Old Style"/>
              </w:rPr>
              <w:t xml:space="preserve">U okviru ove aktivnosti financira se školska prehrana. </w:t>
            </w:r>
            <w:r w:rsidRPr="00730617">
              <w:rPr>
                <w:rFonts w:ascii="Bookman Old Style" w:eastAsia="Calibri" w:hAnsi="Bookman Old Style"/>
                <w:bCs/>
              </w:rPr>
              <w:t>Svaki učenik koji redovito pohađa osnovnu školu na području grada Samobora ostvaruje pravo na financiranje školske prehrane</w:t>
            </w:r>
            <w:r w:rsidRPr="00730617">
              <w:rPr>
                <w:rFonts w:ascii="Bookman Old Style" w:eastAsia="Calibri" w:hAnsi="Bookman Old Style"/>
              </w:rPr>
              <w:t>. Ministarstvo znanosti i obrazovanja podmirivat će troškove financiranja, odnosno sufinanciranja prehrane za svakog učenika osnovne škole uključenog u školsku prehranu u iznosu od 1,33 eura za dane kada je na nastavi. U slučaju da sredstva doznačena od strane Ministarstva znanosti i obrazovanja neće biti dovoljna za pokriće troškova prehrane učenika osnovnih škola s područja grada Samobora, planirana su sredstva općih prihoda i primitaka Grad Samobor za sufinanciranje razlike do najviše 0,07</w:t>
            </w:r>
            <w:r w:rsidRPr="00730617">
              <w:rPr>
                <w:rFonts w:ascii="Bookman Old Style" w:eastAsia="Calibri" w:hAnsi="Bookman Old Style"/>
                <w:bCs/>
              </w:rPr>
              <w:t xml:space="preserve"> eura</w:t>
            </w:r>
            <w:r w:rsidRPr="00730617">
              <w:rPr>
                <w:rFonts w:ascii="Bookman Old Style" w:eastAsia="Calibri" w:hAnsi="Bookman Old Style"/>
              </w:rPr>
              <w:t xml:space="preserve"> po učeniku za dane kada je učenik na nastavi. </w:t>
            </w:r>
          </w:p>
          <w:p w:rsidR="00D72ABC" w:rsidRPr="00730617" w:rsidRDefault="00D72ABC" w:rsidP="00CC208F">
            <w:pPr>
              <w:jc w:val="both"/>
              <w:rPr>
                <w:rFonts w:ascii="Bookman Old Style" w:eastAsia="Calibri" w:hAnsi="Bookman Old Style"/>
              </w:rPr>
            </w:pPr>
            <w:r w:rsidRPr="00730617">
              <w:rPr>
                <w:rFonts w:ascii="Bookman Old Style" w:eastAsia="Calibri" w:hAnsi="Bookman Old Style"/>
              </w:rPr>
              <w:t xml:space="preserve">Ishodište za planirane rashode temelji se na broju učenika.                      </w:t>
            </w:r>
          </w:p>
          <w:p w:rsidR="00D72ABC" w:rsidRPr="00730617" w:rsidRDefault="00D72ABC" w:rsidP="00831A6E">
            <w:pPr>
              <w:jc w:val="both"/>
              <w:rPr>
                <w:rFonts w:ascii="Bookman Old Style" w:hAnsi="Bookman Old Style"/>
                <w:bCs/>
              </w:rPr>
            </w:pPr>
            <w:r w:rsidRPr="00730617">
              <w:rPr>
                <w:rFonts w:ascii="Bookman Old Style" w:eastAsia="Calibri" w:hAnsi="Bookman Old Style"/>
              </w:rPr>
              <w:t xml:space="preserve">Također, u sklopu ove aktivnosti </w:t>
            </w:r>
            <w:r w:rsidRPr="00730617">
              <w:rPr>
                <w:rFonts w:ascii="Bookman Old Style" w:hAnsi="Bookman Old Style"/>
              </w:rPr>
              <w:t xml:space="preserve">planirana su financijska sredstva iz općih prihoda i primitaka Grada Samobora za </w:t>
            </w:r>
            <w:r w:rsidR="00831A6E">
              <w:rPr>
                <w:rFonts w:ascii="Bookman Old Style" w:hAnsi="Bookman Old Style"/>
              </w:rPr>
              <w:t>osam</w:t>
            </w:r>
            <w:r w:rsidRPr="00730617">
              <w:rPr>
                <w:rFonts w:ascii="Bookman Old Style" w:hAnsi="Bookman Old Style"/>
              </w:rPr>
              <w:t xml:space="preserve"> djelatnika, za dopunu satnice spremačice do punog radnog vremena</w:t>
            </w:r>
            <w:r w:rsidR="00831A6E">
              <w:rPr>
                <w:rFonts w:ascii="Bookman Old Style" w:hAnsi="Bookman Old Style"/>
              </w:rPr>
              <w:t>, pola satnice domara, tri učiteljice produženog boravka, dvije spremačice na nepuno radno vrijeme u produženom boravku i puna satnica kuharice.</w:t>
            </w:r>
          </w:p>
        </w:tc>
      </w:tr>
      <w:tr w:rsidR="00D72ABC" w:rsidRPr="008005DD" w:rsidTr="00CC208F">
        <w:trPr>
          <w:trHeight w:val="24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Aktivnost</w:t>
            </w:r>
          </w:p>
        </w:tc>
        <w:tc>
          <w:tcPr>
            <w:tcW w:w="3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Ostali programi u osnovnom obrazovanju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rPr>
          <w:trHeight w:val="48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40.673,00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16.202,39</w:t>
            </w:r>
          </w:p>
        </w:tc>
      </w:tr>
      <w:tr w:rsidR="00D72ABC" w:rsidRPr="008005DD" w:rsidTr="00CC208F">
        <w:trPr>
          <w:trHeight w:val="4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BC" w:rsidRPr="00B045F3" w:rsidRDefault="00D72ABC" w:rsidP="00CC208F">
            <w:pPr>
              <w:jc w:val="both"/>
              <w:rPr>
                <w:rFonts w:ascii="Bookman Old Style" w:eastAsia="Calibri" w:hAnsi="Bookman Old Style"/>
              </w:rPr>
            </w:pPr>
            <w:r w:rsidRPr="00B045F3">
              <w:rPr>
                <w:rFonts w:ascii="Bookman Old Style" w:eastAsia="Calibri" w:hAnsi="Bookman Old Style"/>
              </w:rPr>
              <w:t xml:space="preserve">Grad Samobor osigurava sredstva za naknade članovima školskog odbora, sufinanciranje učenika u školi u prirodi te maturalna putovanja. Unutar ove aktivnosti iskazani su sveukupni rashodi škola za ostale programe u osnovnom obrazovanju koji se financiraju pomoćima te ostalim namjenskim izvorima. </w:t>
            </w:r>
            <w:r w:rsidRPr="00B045F3">
              <w:rPr>
                <w:rFonts w:ascii="Bookman Old Style" w:hAnsi="Bookman Old Style"/>
              </w:rPr>
              <w:t>Nadalje, uključeno je financiranje izleta učenika</w:t>
            </w:r>
            <w:r>
              <w:rPr>
                <w:rFonts w:ascii="Bookman Old Style" w:hAnsi="Bookman Old Style"/>
              </w:rPr>
              <w:t xml:space="preserve"> </w:t>
            </w:r>
            <w:r w:rsidRPr="00B045F3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>radnih materijala, časopisa,</w:t>
            </w:r>
            <w:r w:rsidRPr="00B045F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ulaznica, </w:t>
            </w:r>
            <w:r w:rsidRPr="00B045F3">
              <w:rPr>
                <w:rFonts w:ascii="Bookman Old Style" w:hAnsi="Bookman Old Style"/>
              </w:rPr>
              <w:t>prijevoza na izlete i izvan učioničku nastavu i sl.</w:t>
            </w:r>
          </w:p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B045F3">
              <w:rPr>
                <w:rFonts w:ascii="Bookman Old Style" w:eastAsia="Calibri" w:hAnsi="Bookman Old Style"/>
              </w:rPr>
              <w:t>Ishodište za raspodjelu sredstava po školama temelji se na broju učenika, korisnika programa, stvarnim troškovima iz prethodnih godina te iskazanim potrebama proračunskih korisnika</w:t>
            </w:r>
            <w:r w:rsidRPr="00EA4187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72ABC" w:rsidRPr="008005DD" w:rsidTr="00CC208F">
        <w:trPr>
          <w:trHeight w:val="237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Tekući projekt</w:t>
            </w:r>
          </w:p>
        </w:tc>
        <w:tc>
          <w:tcPr>
            <w:tcW w:w="3656" w:type="dxa"/>
            <w:gridSpan w:val="3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</w:rPr>
              <w:t>Školska shema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3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5.000,00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4.126,51</w:t>
            </w:r>
          </w:p>
        </w:tc>
      </w:tr>
      <w:tr w:rsidR="00D72ABC" w:rsidRPr="008005DD" w:rsidTr="00CC208F">
        <w:trPr>
          <w:trHeight w:val="422"/>
        </w:trPr>
        <w:tc>
          <w:tcPr>
            <w:tcW w:w="1447" w:type="dxa"/>
            <w:shd w:val="clear" w:color="auto" w:fill="FFFFFF" w:themeFill="background1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7"/>
            <w:shd w:val="clear" w:color="auto" w:fill="FFFFFF" w:themeFill="background1"/>
            <w:vAlign w:val="center"/>
          </w:tcPr>
          <w:p w:rsidR="00D72ABC" w:rsidRPr="007E365E" w:rsidRDefault="00D72ABC" w:rsidP="00CC208F">
            <w:pPr>
              <w:jc w:val="both"/>
              <w:rPr>
                <w:rFonts w:ascii="Bookman Old Style" w:eastAsia="Calibri" w:hAnsi="Bookman Old Style"/>
              </w:rPr>
            </w:pPr>
            <w:r w:rsidRPr="007E365E">
              <w:rPr>
                <w:rFonts w:ascii="Bookman Old Style" w:eastAsia="Calibri" w:hAnsi="Bookman Old Style"/>
              </w:rPr>
              <w:t xml:space="preserve">Radi povećanja unosa svježeg voća i povrća te mlijeka i mliječnih proizvoda lokalnih proizvođača, kao i podizanja svijesti o značaju zdrave prehrane kod školske djece, u školskoj godini 2023./2024. nastavlja se </w:t>
            </w:r>
            <w:r w:rsidRPr="007E365E">
              <w:rPr>
                <w:rFonts w:ascii="Bookman Old Style" w:eastAsia="Calibri" w:hAnsi="Bookman Old Style"/>
              </w:rPr>
              <w:lastRenderedPageBreak/>
              <w:t>s provedbom Školske sheme – besplatnih obroka voća, povrća i mlijeka za školsku djecu u svim osnovnim školama Grada Samobora.</w:t>
            </w:r>
          </w:p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7E365E">
              <w:rPr>
                <w:rFonts w:ascii="Bookman Old Style" w:eastAsia="Calibri" w:hAnsi="Bookman Old Style"/>
              </w:rPr>
              <w:t>Ishodište za raspodjelu sredstava temelji se na ukupnom broju učenika po svakoj školi za raspodjelu voća i povrća te mlijeka i mliječnih proizvoda.</w:t>
            </w:r>
          </w:p>
        </w:tc>
      </w:tr>
      <w:tr w:rsidR="00D72ABC" w:rsidRPr="008005DD" w:rsidTr="00CC208F">
        <w:trPr>
          <w:trHeight w:val="2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lastRenderedPageBreak/>
              <w:t>Tekući projekt</w:t>
            </w:r>
          </w:p>
        </w:tc>
        <w:tc>
          <w:tcPr>
            <w:tcW w:w="3656" w:type="dxa"/>
            <w:gridSpan w:val="3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Pomoćnici u nastavi financirani iz Proračuna Grada</w:t>
            </w:r>
          </w:p>
        </w:tc>
        <w:tc>
          <w:tcPr>
            <w:tcW w:w="1985" w:type="dxa"/>
            <w:gridSpan w:val="2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3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64.900,00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831A6E" w:rsidP="00CC208F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47.583,68</w:t>
            </w:r>
          </w:p>
        </w:tc>
      </w:tr>
      <w:tr w:rsidR="00D72ABC" w:rsidRPr="008005DD" w:rsidTr="00CC208F">
        <w:trPr>
          <w:trHeight w:val="425"/>
        </w:trPr>
        <w:tc>
          <w:tcPr>
            <w:tcW w:w="1447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7"/>
            <w:shd w:val="clear" w:color="auto" w:fill="auto"/>
            <w:vAlign w:val="center"/>
          </w:tcPr>
          <w:p w:rsidR="00D72ABC" w:rsidRPr="005D4ECA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5D4ECA">
              <w:rPr>
                <w:rFonts w:ascii="Bookman Old Style" w:eastAsia="Calibri" w:hAnsi="Bookman Old Style"/>
              </w:rPr>
              <w:t>Projektom „Vjetar u leđa“ osiguravaju se pomoćnici u nastavi ili stručni komunikacijski posrednike za učenike s teškoćama u razvoju kako bi se tim učenicima osiguralo pravo na kvalitetno obrazovanje u cilju razvoja njihovih punih potencijala te jednakopravnog i aktivnog sudjelovanja u svim segmentima društva. F</w:t>
            </w:r>
            <w:r w:rsidRPr="005D4ECA">
              <w:rPr>
                <w:rFonts w:ascii="Bookman Old Style" w:hAnsi="Bookman Old Style"/>
              </w:rPr>
              <w:t xml:space="preserve">aza V navedenog projekta odobrena je za školsku godinu 2022./2023., a projekt se nastavlja kroz Fazu VI u školskoj godini 2023./2024. Kako djeca ne bi ostala bez potrebne podrške, u ovoj aktivnosti planiraju se sredstva na teret općih prihoda i primitaka Grada Samobora za pomoćnike u nastavi za koje sredstva nisu osigurana putem projekta Vjetar u leđa. </w:t>
            </w:r>
          </w:p>
          <w:p w:rsidR="00D72ABC" w:rsidRPr="007E365E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5D4ECA">
              <w:rPr>
                <w:rFonts w:ascii="Bookman Old Style" w:hAnsi="Bookman Old Style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</w:tr>
      <w:tr w:rsidR="00D72ABC" w:rsidRPr="008005DD" w:rsidTr="00CC208F">
        <w:trPr>
          <w:trHeight w:val="2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Tekući projekt</w:t>
            </w:r>
          </w:p>
        </w:tc>
        <w:tc>
          <w:tcPr>
            <w:tcW w:w="3656" w:type="dxa"/>
            <w:gridSpan w:val="3"/>
            <w:vMerge w:val="restart"/>
            <w:shd w:val="clear" w:color="auto" w:fill="auto"/>
            <w:vAlign w:val="center"/>
          </w:tcPr>
          <w:p w:rsidR="00D72ABC" w:rsidRPr="008005DD" w:rsidRDefault="00D72ABC" w:rsidP="00861BDA">
            <w:pPr>
              <w:rPr>
                <w:rFonts w:ascii="Bookman Old Style" w:hAnsi="Bookman Old Style"/>
                <w:b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 xml:space="preserve">Vjetar u leđa - faza V - OŠ </w:t>
            </w:r>
            <w:r w:rsidR="00861BDA">
              <w:rPr>
                <w:rFonts w:ascii="Bookman Old Style" w:hAnsi="Bookman Old Style"/>
                <w:b/>
                <w:bCs/>
              </w:rPr>
              <w:t>MŠ</w:t>
            </w:r>
          </w:p>
        </w:tc>
        <w:tc>
          <w:tcPr>
            <w:tcW w:w="1985" w:type="dxa"/>
            <w:gridSpan w:val="2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 xml:space="preserve">Izvršenje </w:t>
            </w:r>
          </w:p>
        </w:tc>
      </w:tr>
      <w:tr w:rsidR="00D72ABC" w:rsidRPr="008005DD" w:rsidTr="00CC208F">
        <w:trPr>
          <w:trHeight w:val="482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3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861BDA" w:rsidP="00CC208F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48.657,00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861BDA" w:rsidP="00CC208F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48.655,29</w:t>
            </w:r>
          </w:p>
        </w:tc>
      </w:tr>
      <w:tr w:rsidR="00D72ABC" w:rsidRPr="008005DD" w:rsidTr="00CC208F">
        <w:trPr>
          <w:trHeight w:val="425"/>
        </w:trPr>
        <w:tc>
          <w:tcPr>
            <w:tcW w:w="1447" w:type="dxa"/>
            <w:shd w:val="clear" w:color="auto" w:fill="auto"/>
            <w:vAlign w:val="center"/>
          </w:tcPr>
          <w:p w:rsidR="00D72ABC" w:rsidRPr="00BB3245" w:rsidRDefault="00D72ABC" w:rsidP="00CC208F">
            <w:pPr>
              <w:rPr>
                <w:rFonts w:ascii="Bookman Old Style" w:hAnsi="Bookman Old Style"/>
              </w:rPr>
            </w:pPr>
            <w:r w:rsidRPr="00BB3245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7"/>
            <w:shd w:val="clear" w:color="auto" w:fill="auto"/>
            <w:vAlign w:val="center"/>
          </w:tcPr>
          <w:p w:rsidR="00D72ABC" w:rsidRPr="00BB3245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BB3245">
              <w:rPr>
                <w:rFonts w:ascii="Bookman Old Style" w:eastAsia="Calibri" w:hAnsi="Bookman Old Style"/>
              </w:rPr>
              <w:t xml:space="preserve"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 Projekta Vjetar u leđa - faza V </w:t>
            </w:r>
            <w:r w:rsidRPr="00BB3245">
              <w:rPr>
                <w:rFonts w:ascii="Bookman Old Style" w:hAnsi="Bookman Old Style"/>
              </w:rPr>
              <w:t>koji je vezan uz školsku godinu 2022./2023. te su u tom periodu planirana financijska sredstva za pomoćnike u nastavi.</w:t>
            </w:r>
          </w:p>
          <w:p w:rsidR="00D72ABC" w:rsidRPr="00BB3245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BB3245">
              <w:rPr>
                <w:rFonts w:ascii="Bookman Old Style" w:eastAsia="Calibri" w:hAnsi="Bookman Old Style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</w:tr>
      <w:tr w:rsidR="00D72ABC" w:rsidRPr="008005DD" w:rsidTr="00CC208F">
        <w:trPr>
          <w:trHeight w:val="2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Tekući projekt</w:t>
            </w:r>
          </w:p>
        </w:tc>
        <w:tc>
          <w:tcPr>
            <w:tcW w:w="3656" w:type="dxa"/>
            <w:gridSpan w:val="3"/>
            <w:vMerge w:val="restart"/>
            <w:shd w:val="clear" w:color="auto" w:fill="auto"/>
            <w:vAlign w:val="center"/>
          </w:tcPr>
          <w:p w:rsidR="00D72ABC" w:rsidRPr="008005DD" w:rsidRDefault="00D72ABC" w:rsidP="00861BDA">
            <w:pPr>
              <w:jc w:val="both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 xml:space="preserve">Vjetar u leđa - faza VI - OŠ </w:t>
            </w:r>
            <w:r w:rsidR="00861BDA">
              <w:rPr>
                <w:rFonts w:ascii="Bookman Old Style" w:hAnsi="Bookman Old Style"/>
                <w:b/>
                <w:bCs/>
              </w:rPr>
              <w:t>MŠ</w:t>
            </w:r>
          </w:p>
        </w:tc>
        <w:tc>
          <w:tcPr>
            <w:tcW w:w="1985" w:type="dxa"/>
            <w:gridSpan w:val="2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Izvorni plan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Izvršenje</w:t>
            </w:r>
          </w:p>
        </w:tc>
      </w:tr>
      <w:tr w:rsidR="00D72ABC" w:rsidRPr="008005DD" w:rsidTr="00CC208F">
        <w:trPr>
          <w:trHeight w:val="500"/>
        </w:trPr>
        <w:tc>
          <w:tcPr>
            <w:tcW w:w="1447" w:type="dxa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3"/>
            <w:vMerge/>
            <w:shd w:val="clear" w:color="auto" w:fill="auto"/>
            <w:vAlign w:val="center"/>
          </w:tcPr>
          <w:p w:rsidR="00D72ABC" w:rsidRPr="008005DD" w:rsidRDefault="00D72ABC" w:rsidP="00CC208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72ABC" w:rsidRPr="008005DD" w:rsidRDefault="00861BDA" w:rsidP="00CC20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31.950,00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72ABC" w:rsidRPr="008005DD" w:rsidRDefault="00861BDA" w:rsidP="00CC20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30.524,69</w:t>
            </w:r>
          </w:p>
        </w:tc>
      </w:tr>
      <w:tr w:rsidR="00D72ABC" w:rsidRPr="008005DD" w:rsidTr="00CC208F">
        <w:trPr>
          <w:trHeight w:val="425"/>
        </w:trPr>
        <w:tc>
          <w:tcPr>
            <w:tcW w:w="1447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Izvještaj o postignutim ciljevima</w:t>
            </w:r>
          </w:p>
        </w:tc>
        <w:tc>
          <w:tcPr>
            <w:tcW w:w="7625" w:type="dxa"/>
            <w:gridSpan w:val="7"/>
            <w:shd w:val="clear" w:color="auto" w:fill="auto"/>
            <w:vAlign w:val="center"/>
          </w:tcPr>
          <w:p w:rsidR="00D72ABC" w:rsidRPr="007E365E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7E365E">
              <w:rPr>
                <w:rFonts w:ascii="Bookman Old Style" w:eastAsia="Calibri" w:hAnsi="Bookman Old Style"/>
              </w:rPr>
              <w:t xml:space="preserve"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</w:t>
            </w:r>
            <w:r w:rsidRPr="007E365E">
              <w:rPr>
                <w:rFonts w:ascii="Bookman Old Style" w:eastAsia="Calibri" w:hAnsi="Bookman Old Style"/>
              </w:rPr>
              <w:lastRenderedPageBreak/>
              <w:t xml:space="preserve">segmentima društva, a putem Projekta Vjetar u leđa - faza VI. </w:t>
            </w:r>
            <w:r w:rsidRPr="007E365E">
              <w:rPr>
                <w:rFonts w:ascii="Bookman Old Style" w:hAnsi="Bookman Old Style"/>
              </w:rPr>
              <w:t>koji je vezan uz školsku godinu 2023./2024. odnosno do 30. lipnja 2024. godine te su u tom periodu planirana financijska sredstva za pomoćnike u nastavi.</w:t>
            </w:r>
          </w:p>
          <w:p w:rsidR="00D72ABC" w:rsidRPr="007E365E" w:rsidRDefault="00D72ABC" w:rsidP="00CC208F">
            <w:pPr>
              <w:jc w:val="both"/>
              <w:rPr>
                <w:rFonts w:ascii="Bookman Old Style" w:hAnsi="Bookman Old Style"/>
              </w:rPr>
            </w:pPr>
            <w:r w:rsidRPr="007E365E">
              <w:rPr>
                <w:rFonts w:ascii="Bookman Old Style" w:eastAsia="Calibri" w:hAnsi="Bookman Old Style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</w:tr>
      <w:tr w:rsidR="00D72ABC" w:rsidRPr="008005DD" w:rsidTr="00CC208F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lastRenderedPageBreak/>
              <w:t>Pokazatelj uspješnosti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Definicija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72ABC" w:rsidRPr="008005DD" w:rsidRDefault="00D72ABC" w:rsidP="00CC208F">
            <w:pPr>
              <w:keepNext/>
              <w:jc w:val="center"/>
              <w:outlineLvl w:val="6"/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Jedinica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Ciljana vrijednost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2ABC" w:rsidRPr="008005DD" w:rsidRDefault="00D72ABC" w:rsidP="00CC208F">
            <w:pPr>
              <w:keepNext/>
              <w:outlineLvl w:val="6"/>
              <w:rPr>
                <w:rFonts w:ascii="Bookman Old Style" w:hAnsi="Bookman Old Style"/>
                <w:b/>
                <w:bCs/>
              </w:rPr>
            </w:pPr>
            <w:r w:rsidRPr="008005DD">
              <w:rPr>
                <w:rFonts w:ascii="Bookman Old Style" w:hAnsi="Bookman Old Style"/>
                <w:b/>
                <w:bCs/>
              </w:rPr>
              <w:t>Ostvareno</w:t>
            </w:r>
          </w:p>
        </w:tc>
      </w:tr>
      <w:tr w:rsidR="00D72ABC" w:rsidRPr="008005DD" w:rsidTr="00CC208F">
        <w:trPr>
          <w:trHeight w:val="540"/>
        </w:trPr>
        <w:tc>
          <w:tcPr>
            <w:tcW w:w="2268" w:type="dxa"/>
            <w:gridSpan w:val="2"/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grupa izvannastavnih aktivnosti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Sufinanciranjem programa uključiti što veći broj učenika u izvannastavne programe</w:t>
            </w:r>
          </w:p>
        </w:tc>
        <w:tc>
          <w:tcPr>
            <w:tcW w:w="1417" w:type="dxa"/>
            <w:gridSpan w:val="2"/>
            <w:vAlign w:val="center"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grupa</w:t>
            </w:r>
          </w:p>
        </w:tc>
        <w:tc>
          <w:tcPr>
            <w:tcW w:w="1276" w:type="dxa"/>
            <w:gridSpan w:val="2"/>
            <w:vAlign w:val="center"/>
          </w:tcPr>
          <w:p w:rsidR="00D72ABC" w:rsidRPr="008005DD" w:rsidRDefault="00861BDA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17" w:type="dxa"/>
            <w:vAlign w:val="center"/>
          </w:tcPr>
          <w:p w:rsidR="00D72ABC" w:rsidRPr="008005DD" w:rsidRDefault="00861BDA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D72ABC" w:rsidRPr="008005DD" w:rsidTr="00CC20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pomoćnika u nastavi za realizaciju programa Vjetar u leđa – faza V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Zadržavanjem broja pomoćnika u nastavi osigurati postojeću realizaciju programa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pomoćnika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861BDA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861BDA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D72ABC" w:rsidRPr="008005DD" w:rsidTr="00CC20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pomoćnika u nastavi za realizaciju programa Vjetar u leđa – faza V</w:t>
            </w:r>
            <w:r>
              <w:rPr>
                <w:rFonts w:ascii="Bookman Old Style" w:hAnsi="Bookman Old Style"/>
              </w:rP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D72ABC" w:rsidP="00CC208F">
            <w:pPr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Zadržavanjem broja pomoćnika u nastavi osigurati postojeću realizaciju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8005DD">
              <w:rPr>
                <w:rFonts w:ascii="Bookman Old Style" w:hAnsi="Bookman Old Style"/>
              </w:rPr>
              <w:t>Broj pomoćnika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BC" w:rsidRPr="008005DD" w:rsidRDefault="00D72ABC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D72ABC" w:rsidRPr="008005DD" w:rsidTr="00CC20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ABC" w:rsidRPr="006868C4" w:rsidRDefault="00D72ABC" w:rsidP="00CC208F">
            <w:pPr>
              <w:rPr>
                <w:rFonts w:ascii="Bookman Old Style" w:hAnsi="Bookman Old Style"/>
              </w:rPr>
            </w:pPr>
            <w:r w:rsidRPr="006868C4">
              <w:rPr>
                <w:rFonts w:ascii="Bookman Old Style" w:eastAsia="Calibri" w:hAnsi="Bookman Old Style"/>
              </w:rPr>
              <w:t>Broj učenika koji primaju subvencije za prehranu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BC" w:rsidRPr="006868C4" w:rsidRDefault="00D72ABC" w:rsidP="00CC208F">
            <w:pPr>
              <w:rPr>
                <w:rFonts w:ascii="Bookman Old Style" w:hAnsi="Bookman Old Style"/>
              </w:rPr>
            </w:pPr>
            <w:r w:rsidRPr="006868C4">
              <w:rPr>
                <w:rFonts w:ascii="Bookman Old Style" w:eastAsia="Calibri" w:hAnsi="Bookman Old Style"/>
              </w:rPr>
              <w:t>Broj učenika kojima Grad Samobor (su)financira prehranu (akt. 4.3. Subvencije i stipendije u obrazovanju, PPGS)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BC" w:rsidRPr="006868C4" w:rsidRDefault="00D72ABC" w:rsidP="00CC208F">
            <w:pPr>
              <w:jc w:val="center"/>
              <w:rPr>
                <w:rFonts w:ascii="Bookman Old Style" w:hAnsi="Bookman Old Style"/>
              </w:rPr>
            </w:pPr>
            <w:r w:rsidRPr="006868C4">
              <w:rPr>
                <w:rFonts w:ascii="Bookman Old Style" w:hAnsi="Bookman Old Style"/>
              </w:rPr>
              <w:t>Broj učenik</w:t>
            </w:r>
            <w:r>
              <w:rPr>
                <w:rFonts w:ascii="Bookman Old Style" w:hAnsi="Bookman Old Style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BC" w:rsidRPr="006868C4" w:rsidRDefault="00861BDA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BC" w:rsidRPr="006868C4" w:rsidRDefault="00861BDA" w:rsidP="00CC20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325</w:t>
            </w:r>
            <w:bookmarkStart w:id="1" w:name="_GoBack"/>
            <w:bookmarkEnd w:id="1"/>
          </w:p>
        </w:tc>
      </w:tr>
    </w:tbl>
    <w:p w:rsidR="00D72ABC" w:rsidRPr="008005DD" w:rsidRDefault="00D72ABC" w:rsidP="00D72ABC">
      <w:pPr>
        <w:rPr>
          <w:rFonts w:ascii="Bookman Old Style" w:hAnsi="Bookman Old Style"/>
          <w:b/>
        </w:rPr>
      </w:pPr>
    </w:p>
    <w:p w:rsidR="00725B74" w:rsidRDefault="00725B74" w:rsidP="00D77D4F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725B74" w:rsidRDefault="00725B74" w:rsidP="00D77D4F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C52D17" w:rsidRPr="004272FD" w:rsidRDefault="00FF0212" w:rsidP="00C52D17">
      <w:pPr>
        <w:spacing w:after="0"/>
        <w:rPr>
          <w:rFonts w:ascii="Bookman Old Style" w:hAnsi="Bookman Old Style"/>
          <w:b/>
          <w:sz w:val="24"/>
          <w:szCs w:val="24"/>
        </w:rPr>
      </w:pPr>
      <w:r w:rsidRPr="004272FD">
        <w:rPr>
          <w:rFonts w:ascii="Bookman Old Style" w:hAnsi="Bookman Old Style"/>
          <w:b/>
          <w:sz w:val="24"/>
          <w:szCs w:val="24"/>
        </w:rPr>
        <w:t xml:space="preserve">5. </w:t>
      </w:r>
      <w:r w:rsidR="00C52D17" w:rsidRPr="004272FD">
        <w:rPr>
          <w:rFonts w:ascii="Bookman Old Style" w:hAnsi="Bookman Old Style"/>
          <w:b/>
          <w:sz w:val="24"/>
          <w:szCs w:val="24"/>
        </w:rPr>
        <w:t xml:space="preserve">POSEBNI IZVJEŠTAJ U GODIŠNJEM IZVJEŠTAJU O IZVRŠENJU FINANCIJSKOG PLANA ZA 2023. GODINU </w:t>
      </w:r>
    </w:p>
    <w:p w:rsidR="00C52D17" w:rsidRPr="00C52D17" w:rsidRDefault="00C52D17" w:rsidP="00C52D17">
      <w:pPr>
        <w:spacing w:after="0"/>
        <w:rPr>
          <w:rFonts w:ascii="Bookman Old Style" w:hAnsi="Bookman Old Style" w:cs="Arial"/>
          <w:b/>
          <w:sz w:val="24"/>
          <w:szCs w:val="24"/>
        </w:rPr>
      </w:pPr>
    </w:p>
    <w:p w:rsidR="007D4B0C" w:rsidRDefault="007D4B0C" w:rsidP="007D4B0C">
      <w:pPr>
        <w:spacing w:after="0"/>
      </w:pPr>
    </w:p>
    <w:p w:rsidR="005A5DA1" w:rsidRDefault="005A5DA1" w:rsidP="004272FD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 w:cs="Arial"/>
          <w:i/>
          <w:sz w:val="24"/>
          <w:szCs w:val="24"/>
        </w:rPr>
      </w:pPr>
      <w:r w:rsidRPr="005A5DA1">
        <w:rPr>
          <w:rFonts w:ascii="Bookman Old Style" w:hAnsi="Bookman Old Style" w:cs="Arial"/>
          <w:i/>
          <w:sz w:val="24"/>
          <w:szCs w:val="24"/>
        </w:rPr>
        <w:t>izvještaj o zaduživanju na domaćem i stranom tržištu novca i kapitala</w:t>
      </w:r>
    </w:p>
    <w:p w:rsidR="00D31FF0" w:rsidRPr="00D31FF0" w:rsidRDefault="00D31FF0" w:rsidP="00D31FF0">
      <w:pPr>
        <w:spacing w:after="0"/>
        <w:ind w:left="360"/>
        <w:rPr>
          <w:rFonts w:ascii="Bookman Old Style" w:hAnsi="Bookman Old Style" w:cs="Arial"/>
          <w:i/>
          <w:sz w:val="24"/>
          <w:szCs w:val="24"/>
        </w:rPr>
      </w:pPr>
    </w:p>
    <w:p w:rsidR="00D31FF0" w:rsidRPr="00462F11" w:rsidRDefault="00D31FF0" w:rsidP="00D31FF0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462F11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Izvještaj o danim zajmovima i potraživanjima po danim zajmovima </w:t>
      </w:r>
    </w:p>
    <w:p w:rsidR="00D31FF0" w:rsidRDefault="00D31FF0" w:rsidP="00D31FF0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9E41CC" w:rsidRPr="00D31FF0" w:rsidRDefault="009E41CC" w:rsidP="00D31FF0">
      <w:pPr>
        <w:spacing w:after="0"/>
        <w:rPr>
          <w:rFonts w:ascii="Bookman Old Style" w:hAnsi="Bookman Old Style" w:cs="Arial"/>
          <w:sz w:val="24"/>
          <w:szCs w:val="24"/>
        </w:rPr>
      </w:pPr>
      <w:r w:rsidRPr="005A5DA1">
        <w:rPr>
          <w:rFonts w:ascii="Bookman Old Style" w:hAnsi="Bookman Old Style" w:cs="Arial"/>
          <w:sz w:val="24"/>
          <w:szCs w:val="24"/>
        </w:rPr>
        <w:t xml:space="preserve">Osnovna škola </w:t>
      </w:r>
      <w:r w:rsidR="00861BDA">
        <w:rPr>
          <w:rFonts w:ascii="Bookman Old Style" w:hAnsi="Bookman Old Style" w:cs="Arial"/>
          <w:sz w:val="24"/>
          <w:szCs w:val="24"/>
        </w:rPr>
        <w:t xml:space="preserve">Mihaela </w:t>
      </w:r>
      <w:proofErr w:type="spellStart"/>
      <w:r w:rsidR="00861BDA">
        <w:rPr>
          <w:rFonts w:ascii="Bookman Old Style" w:hAnsi="Bookman Old Style" w:cs="Arial"/>
          <w:sz w:val="24"/>
          <w:szCs w:val="24"/>
        </w:rPr>
        <w:t>Šiloboda</w:t>
      </w:r>
      <w:proofErr w:type="spellEnd"/>
      <w:r w:rsidRPr="005A5DA1">
        <w:rPr>
          <w:rFonts w:ascii="Bookman Old Style" w:hAnsi="Bookman Old Style" w:cs="Arial"/>
          <w:sz w:val="24"/>
          <w:szCs w:val="24"/>
        </w:rPr>
        <w:t xml:space="preserve"> nije se  zaduživala na domaćem ni stranom tržištu novca i kapitala</w:t>
      </w:r>
      <w:r w:rsidR="00D31FF0">
        <w:rPr>
          <w:rFonts w:ascii="Bookman Old Style" w:hAnsi="Bookman Old Style" w:cs="Arial"/>
          <w:sz w:val="24"/>
          <w:szCs w:val="24"/>
        </w:rPr>
        <w:t xml:space="preserve">, </w:t>
      </w:r>
      <w:r w:rsidRPr="00D31FF0">
        <w:rPr>
          <w:rFonts w:ascii="Bookman Old Style" w:hAnsi="Bookman Old Style" w:cs="Arial"/>
          <w:sz w:val="24"/>
          <w:szCs w:val="24"/>
        </w:rPr>
        <w:t xml:space="preserve">te nema danih zajmova i potraživanja po danim </w:t>
      </w:r>
      <w:r w:rsidRPr="00D31FF0">
        <w:rPr>
          <w:rFonts w:ascii="Bookman Old Style" w:hAnsi="Bookman Old Style" w:cs="Arial"/>
          <w:color w:val="000000" w:themeColor="text1"/>
          <w:sz w:val="24"/>
          <w:szCs w:val="24"/>
        </w:rPr>
        <w:t>zajmovima u razdoblju od 1.1.2023.-31.12.2023. godine.</w:t>
      </w:r>
    </w:p>
    <w:p w:rsidR="00C52D17" w:rsidRDefault="00C52D17" w:rsidP="005A5DA1">
      <w:pPr>
        <w:spacing w:after="0"/>
        <w:ind w:left="36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D31FF0" w:rsidRPr="00D31FF0" w:rsidRDefault="00D31FF0" w:rsidP="00D31FF0">
      <w:pPr>
        <w:pStyle w:val="Odlomakpopisa"/>
        <w:numPr>
          <w:ilvl w:val="0"/>
          <w:numId w:val="19"/>
        </w:numPr>
        <w:spacing w:after="0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D31FF0">
        <w:rPr>
          <w:rFonts w:ascii="Bookman Old Style" w:hAnsi="Bookman Old Style" w:cs="Arial"/>
          <w:i/>
          <w:color w:val="000000" w:themeColor="text1"/>
          <w:sz w:val="24"/>
          <w:szCs w:val="24"/>
        </w:rPr>
        <w:t>Izvještaj o korištenju sredstava fondova Europske unije</w:t>
      </w:r>
    </w:p>
    <w:p w:rsidR="00D31FF0" w:rsidRDefault="00D31FF0" w:rsidP="00D31FF0">
      <w:pPr>
        <w:spacing w:after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Škola nema projekte u tijeku zaključno s prosincem 2023. godine</w:t>
      </w:r>
    </w:p>
    <w:p w:rsidR="00D31FF0" w:rsidRDefault="00D31FF0" w:rsidP="00D31FF0">
      <w:pPr>
        <w:spacing w:after="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A64BC" w:rsidRDefault="007A64BC" w:rsidP="00D31FF0">
      <w:pPr>
        <w:pStyle w:val="Odlomakpopisa"/>
        <w:numPr>
          <w:ilvl w:val="0"/>
          <w:numId w:val="19"/>
        </w:numPr>
        <w:spacing w:after="0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i/>
          <w:color w:val="000000" w:themeColor="text1"/>
          <w:sz w:val="24"/>
          <w:szCs w:val="24"/>
        </w:rPr>
        <w:t>Izvještaj o danim jamstvima i plaćanjima po protestiranim jamstvima</w:t>
      </w:r>
    </w:p>
    <w:p w:rsidR="00D31FF0" w:rsidRPr="00D31FF0" w:rsidRDefault="00462F11" w:rsidP="00D31FF0">
      <w:pPr>
        <w:spacing w:after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Osnovna škola Rude</w:t>
      </w:r>
      <w:r w:rsidR="00D31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nije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davala zajmove</w:t>
      </w:r>
      <w:r w:rsidR="007A64B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niti jamstva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5A5DA1" w:rsidRPr="00C52D17" w:rsidRDefault="005A5DA1" w:rsidP="005A5DA1">
      <w:pPr>
        <w:spacing w:after="0"/>
        <w:ind w:left="36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0603B" w:rsidRPr="00E0603B" w:rsidRDefault="00C52D17" w:rsidP="004272FD">
      <w:pPr>
        <w:pStyle w:val="Odlomakpopisa"/>
        <w:numPr>
          <w:ilvl w:val="0"/>
          <w:numId w:val="10"/>
        </w:numPr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A70CD2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Izvještaj o stanju potraživanja i dospjelih obveza te stanju potencijalnih </w:t>
      </w:r>
      <w:r w:rsidRPr="00A70CD2">
        <w:rPr>
          <w:rFonts w:ascii="Bookman Old Style" w:hAnsi="Bookman Old Style"/>
          <w:i/>
          <w:sz w:val="24"/>
          <w:szCs w:val="24"/>
        </w:rPr>
        <w:t>obveza po osnovi sudskih sporova</w:t>
      </w:r>
    </w:p>
    <w:p w:rsidR="000831C1" w:rsidRPr="00462F11" w:rsidRDefault="000831C1" w:rsidP="00462F11">
      <w:pPr>
        <w:spacing w:after="20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62F11">
        <w:rPr>
          <w:rFonts w:ascii="Bookman Old Style" w:hAnsi="Bookman Old Style"/>
          <w:color w:val="000000" w:themeColor="text1"/>
          <w:sz w:val="24"/>
          <w:szCs w:val="24"/>
          <w:u w:val="single"/>
        </w:rPr>
        <w:t>Stanje dospjelih obveza</w:t>
      </w:r>
      <w:r w:rsidRPr="00462F11">
        <w:rPr>
          <w:rFonts w:ascii="Bookman Old Style" w:hAnsi="Bookman Old Style"/>
          <w:color w:val="000000" w:themeColor="text1"/>
          <w:sz w:val="24"/>
          <w:szCs w:val="24"/>
        </w:rPr>
        <w:t xml:space="preserve">  (</w:t>
      </w:r>
      <w:r w:rsidR="00861BDA">
        <w:rPr>
          <w:rFonts w:ascii="Bookman Old Style" w:hAnsi="Bookman Old Style"/>
          <w:color w:val="000000" w:themeColor="text1"/>
          <w:sz w:val="24"/>
          <w:szCs w:val="24"/>
        </w:rPr>
        <w:t>12,50</w:t>
      </w:r>
      <w:r w:rsidRPr="00462F11">
        <w:rPr>
          <w:rFonts w:ascii="Bookman Old Style" w:hAnsi="Bookman Old Style"/>
          <w:color w:val="000000" w:themeColor="text1"/>
          <w:sz w:val="24"/>
          <w:szCs w:val="24"/>
        </w:rPr>
        <w:t xml:space="preserve"> eur</w:t>
      </w:r>
      <w:r w:rsidR="00460740" w:rsidRPr="00462F11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462F11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="0056060B" w:rsidRPr="00462F11">
        <w:rPr>
          <w:rFonts w:ascii="Bookman Old Style" w:hAnsi="Bookman Old Style"/>
          <w:color w:val="000000" w:themeColor="text1"/>
          <w:sz w:val="24"/>
          <w:szCs w:val="24"/>
        </w:rPr>
        <w:t>- nepodmireno</w:t>
      </w:r>
    </w:p>
    <w:p w:rsidR="00E0603B" w:rsidRDefault="000831C1" w:rsidP="00462F11">
      <w:pPr>
        <w:spacing w:after="20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62F11">
        <w:rPr>
          <w:rFonts w:ascii="Bookman Old Style" w:hAnsi="Bookman Old Style"/>
          <w:color w:val="000000" w:themeColor="text1"/>
          <w:sz w:val="24"/>
          <w:szCs w:val="24"/>
        </w:rPr>
        <w:t xml:space="preserve">odnosi se na neplaćenu obvezu </w:t>
      </w:r>
      <w:r w:rsidR="00861BDA">
        <w:rPr>
          <w:rFonts w:ascii="Bookman Old Style" w:hAnsi="Bookman Old Style"/>
          <w:color w:val="000000" w:themeColor="text1"/>
          <w:sz w:val="24"/>
          <w:szCs w:val="24"/>
        </w:rPr>
        <w:t xml:space="preserve">javnobilježničke usluge za </w:t>
      </w:r>
      <w:proofErr w:type="spellStart"/>
      <w:r w:rsidR="00861BDA">
        <w:rPr>
          <w:rFonts w:ascii="Bookman Old Style" w:hAnsi="Bookman Old Style"/>
          <w:color w:val="000000" w:themeColor="text1"/>
          <w:sz w:val="24"/>
          <w:szCs w:val="24"/>
        </w:rPr>
        <w:t>eOvrhe</w:t>
      </w:r>
      <w:proofErr w:type="spellEnd"/>
      <w:r w:rsidR="00861BDA">
        <w:rPr>
          <w:rFonts w:ascii="Bookman Old Style" w:hAnsi="Bookman Old Style"/>
          <w:color w:val="000000" w:themeColor="text1"/>
          <w:sz w:val="24"/>
          <w:szCs w:val="24"/>
        </w:rPr>
        <w:t xml:space="preserve"> koja je podmirena 05.01.2024. god.</w:t>
      </w:r>
    </w:p>
    <w:p w:rsidR="00F0568B" w:rsidRPr="004B23EA" w:rsidRDefault="00F0568B" w:rsidP="00462F11">
      <w:pPr>
        <w:spacing w:after="200" w:line="276" w:lineRule="auto"/>
        <w:rPr>
          <w:rFonts w:ascii="Bookman Old Style" w:hAnsi="Bookman Old Style"/>
          <w:color w:val="000000" w:themeColor="text1"/>
        </w:rPr>
      </w:pPr>
      <w:r w:rsidRPr="004B23EA">
        <w:rPr>
          <w:rFonts w:ascii="Bookman Old Style" w:hAnsi="Bookman Old Style"/>
          <w:color w:val="000000" w:themeColor="text1"/>
        </w:rPr>
        <w:t xml:space="preserve">Tablica </w:t>
      </w:r>
      <w:r w:rsidR="004B23EA" w:rsidRPr="004B23EA">
        <w:rPr>
          <w:rFonts w:ascii="Bookman Old Style" w:hAnsi="Bookman Old Style"/>
          <w:color w:val="000000" w:themeColor="text1"/>
        </w:rPr>
        <w:t>3</w:t>
      </w:r>
      <w:r w:rsidRPr="004B23EA">
        <w:rPr>
          <w:rFonts w:ascii="Bookman Old Style" w:hAnsi="Bookman Old Style"/>
          <w:color w:val="000000" w:themeColor="text1"/>
        </w:rPr>
        <w:t>: stanje dospjelih obveza</w:t>
      </w: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576"/>
        <w:gridCol w:w="1870"/>
        <w:gridCol w:w="1469"/>
      </w:tblGrid>
      <w:tr w:rsidR="00F0568B" w:rsidRPr="00A62496" w:rsidTr="0095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F0568B" w:rsidRPr="00A62496" w:rsidRDefault="00F0568B" w:rsidP="00950A7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F0568B" w:rsidRPr="00A62496" w:rsidRDefault="00F0568B" w:rsidP="00861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 w:rsidRPr="00A62496">
              <w:rPr>
                <w:rFonts w:ascii="Bookman Old Style" w:hAnsi="Bookman Old Style" w:cs="Arial"/>
                <w:sz w:val="18"/>
                <w:szCs w:val="18"/>
              </w:rPr>
              <w:t>STANJE NA 31.12.202</w:t>
            </w:r>
            <w:r w:rsidR="00861BDA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A62496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469" w:type="dxa"/>
          </w:tcPr>
          <w:p w:rsidR="00F0568B" w:rsidRPr="00A62496" w:rsidRDefault="00F0568B" w:rsidP="00950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0568B" w:rsidRPr="00A62496" w:rsidRDefault="00F0568B" w:rsidP="00950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 w:rsidRPr="00A62496">
              <w:rPr>
                <w:rFonts w:ascii="Bookman Old Style" w:hAnsi="Bookman Old Style" w:cs="Arial"/>
                <w:sz w:val="18"/>
                <w:szCs w:val="18"/>
              </w:rPr>
              <w:t>Isplaćeno</w:t>
            </w:r>
          </w:p>
          <w:p w:rsidR="00F0568B" w:rsidRPr="00A62496" w:rsidRDefault="00F0568B" w:rsidP="00950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0568B" w:rsidRPr="00A62496" w:rsidTr="00950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F0568B" w:rsidRPr="00A62496" w:rsidRDefault="00F0568B" w:rsidP="00F0568B">
            <w:p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A62496">
              <w:rPr>
                <w:rFonts w:ascii="Bookman Old Style" w:hAnsi="Bookman Old Style" w:cs="Arial"/>
                <w:b w:val="0"/>
                <w:sz w:val="18"/>
                <w:szCs w:val="18"/>
              </w:rPr>
              <w:t>Dospjele obveze</w:t>
            </w:r>
          </w:p>
        </w:tc>
        <w:tc>
          <w:tcPr>
            <w:tcW w:w="1870" w:type="dxa"/>
          </w:tcPr>
          <w:p w:rsidR="00F0568B" w:rsidRPr="00A62496" w:rsidRDefault="00861BDA" w:rsidP="00950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12,50</w:t>
            </w:r>
            <w:r w:rsidR="00F0568B" w:rsidRPr="00A62496">
              <w:rPr>
                <w:rFonts w:ascii="Bookman Old Style" w:hAnsi="Bookman Old Style" w:cs="Arial"/>
                <w:sz w:val="18"/>
                <w:szCs w:val="18"/>
              </w:rPr>
              <w:t xml:space="preserve"> €</w:t>
            </w:r>
          </w:p>
        </w:tc>
        <w:tc>
          <w:tcPr>
            <w:tcW w:w="1469" w:type="dxa"/>
          </w:tcPr>
          <w:p w:rsidR="00F0568B" w:rsidRPr="00A62496" w:rsidRDefault="00F0568B" w:rsidP="00861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18"/>
                <w:szCs w:val="18"/>
              </w:rPr>
            </w:pPr>
            <w:r w:rsidRPr="00A62496">
              <w:rPr>
                <w:rFonts w:ascii="Bookman Old Style" w:hAnsi="Bookman Old Style" w:cs="Arial"/>
                <w:sz w:val="18"/>
                <w:szCs w:val="18"/>
              </w:rPr>
              <w:t xml:space="preserve">Isplata </w:t>
            </w:r>
            <w:r w:rsidR="00861BDA">
              <w:rPr>
                <w:rFonts w:ascii="Bookman Old Style" w:hAnsi="Bookman Old Style" w:cs="Arial"/>
                <w:sz w:val="18"/>
                <w:szCs w:val="18"/>
              </w:rPr>
              <w:t>05</w:t>
            </w:r>
            <w:r w:rsidRPr="00A62496">
              <w:rPr>
                <w:rFonts w:ascii="Bookman Old Style" w:hAnsi="Bookman Old Style" w:cs="Arial"/>
                <w:sz w:val="18"/>
                <w:szCs w:val="18"/>
              </w:rPr>
              <w:t>.01.2024.</w:t>
            </w:r>
          </w:p>
        </w:tc>
      </w:tr>
    </w:tbl>
    <w:p w:rsidR="00F0568B" w:rsidRPr="00462F11" w:rsidRDefault="00F0568B" w:rsidP="00462F11">
      <w:pPr>
        <w:spacing w:after="20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03B" w:rsidRDefault="00E0603B" w:rsidP="00E0603B">
      <w:pPr>
        <w:pStyle w:val="Odlomakpopisa"/>
        <w:spacing w:after="200" w:line="276" w:lineRule="auto"/>
        <w:ind w:left="360"/>
        <w:rPr>
          <w:rFonts w:ascii="Bookman Old Style" w:hAnsi="Bookman Old Style"/>
          <w:color w:val="000000" w:themeColor="text1"/>
        </w:rPr>
      </w:pPr>
    </w:p>
    <w:p w:rsidR="00E0603B" w:rsidRPr="00462F11" w:rsidRDefault="00E0603B" w:rsidP="00462F11">
      <w:pPr>
        <w:pStyle w:val="Odlomakpopisa"/>
        <w:numPr>
          <w:ilvl w:val="0"/>
          <w:numId w:val="4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 w:rsidRPr="00462F11">
        <w:rPr>
          <w:rFonts w:ascii="Bookman Old Style" w:hAnsi="Bookman Old Style"/>
          <w:sz w:val="24"/>
          <w:szCs w:val="24"/>
        </w:rPr>
        <w:t>Škola nema nenaplaćenih potraživanja</w:t>
      </w:r>
    </w:p>
    <w:p w:rsidR="00E0603B" w:rsidRPr="00E0603B" w:rsidRDefault="00E0603B" w:rsidP="000831C1">
      <w:pPr>
        <w:pStyle w:val="Odlomakpopisa"/>
        <w:spacing w:after="200" w:line="276" w:lineRule="auto"/>
        <w:ind w:left="360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E0603B" w:rsidRPr="00E0603B" w:rsidRDefault="00E0603B" w:rsidP="004272FD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i/>
          <w:sz w:val="24"/>
          <w:szCs w:val="24"/>
        </w:rPr>
      </w:pPr>
      <w:r w:rsidRPr="00E0603B">
        <w:rPr>
          <w:rFonts w:ascii="Bookman Old Style" w:hAnsi="Bookman Old Style"/>
          <w:i/>
          <w:sz w:val="24"/>
          <w:szCs w:val="24"/>
        </w:rPr>
        <w:t>Potencijalne obveze po osnovi sudskih sporova u tijeku</w:t>
      </w:r>
    </w:p>
    <w:p w:rsidR="00E0603B" w:rsidRDefault="00E0603B" w:rsidP="00E0603B">
      <w:pPr>
        <w:pStyle w:val="Odlomakpopisa"/>
        <w:spacing w:after="200" w:line="276" w:lineRule="auto"/>
        <w:ind w:left="360"/>
        <w:rPr>
          <w:rFonts w:ascii="Bookman Old Style" w:hAnsi="Bookman Old Style"/>
          <w:color w:val="000000" w:themeColor="text1"/>
        </w:rPr>
      </w:pPr>
    </w:p>
    <w:p w:rsidR="006628FB" w:rsidRPr="000B0089" w:rsidRDefault="006628FB" w:rsidP="006628F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6628FB" w:rsidRPr="0025095B" w:rsidRDefault="006628FB" w:rsidP="0025095B">
      <w:pPr>
        <w:rPr>
          <w:rFonts w:ascii="Bookman Old Style" w:hAnsi="Bookman Old Style" w:cs="Arial"/>
          <w:sz w:val="24"/>
          <w:szCs w:val="24"/>
        </w:rPr>
      </w:pPr>
      <w:r w:rsidRPr="0025095B">
        <w:rPr>
          <w:rFonts w:ascii="Bookman Old Style" w:hAnsi="Bookman Old Style" w:cs="Arial"/>
          <w:sz w:val="24"/>
          <w:szCs w:val="24"/>
        </w:rPr>
        <w:t>Spor</w:t>
      </w:r>
      <w:r w:rsidR="0025095B" w:rsidRPr="0025095B">
        <w:rPr>
          <w:rFonts w:ascii="Bookman Old Style" w:hAnsi="Bookman Old Style" w:cs="Arial"/>
          <w:sz w:val="24"/>
          <w:szCs w:val="24"/>
        </w:rPr>
        <w:t xml:space="preserve"> </w:t>
      </w:r>
      <w:r w:rsidRPr="0025095B">
        <w:rPr>
          <w:rFonts w:ascii="Bookman Old Style" w:hAnsi="Bookman Old Style" w:cs="Arial"/>
          <w:sz w:val="24"/>
          <w:szCs w:val="24"/>
        </w:rPr>
        <w:t>s</w:t>
      </w:r>
      <w:r w:rsidR="0025095B" w:rsidRPr="0025095B">
        <w:rPr>
          <w:rFonts w:ascii="Bookman Old Style" w:hAnsi="Bookman Old Style" w:cs="Arial"/>
          <w:sz w:val="24"/>
          <w:szCs w:val="24"/>
        </w:rPr>
        <w:t>e</w:t>
      </w:r>
      <w:r w:rsidRPr="0025095B">
        <w:rPr>
          <w:rFonts w:ascii="Bookman Old Style" w:hAnsi="Bookman Old Style" w:cs="Arial"/>
          <w:sz w:val="24"/>
          <w:szCs w:val="24"/>
        </w:rPr>
        <w:t xml:space="preserve"> vodi</w:t>
      </w:r>
      <w:r w:rsidR="0025095B" w:rsidRPr="0025095B">
        <w:rPr>
          <w:rFonts w:ascii="Bookman Old Style" w:hAnsi="Bookman Old Style" w:cs="Arial"/>
          <w:sz w:val="24"/>
          <w:szCs w:val="24"/>
        </w:rPr>
        <w:t>o</w:t>
      </w:r>
      <w:r w:rsidRPr="0025095B">
        <w:rPr>
          <w:rFonts w:ascii="Bookman Old Style" w:hAnsi="Bookman Old Style" w:cs="Arial"/>
          <w:sz w:val="24"/>
          <w:szCs w:val="24"/>
        </w:rPr>
        <w:t xml:space="preserve"> pred Općinskim sudom u  </w:t>
      </w:r>
      <w:r w:rsidR="0025095B" w:rsidRPr="0025095B">
        <w:rPr>
          <w:rFonts w:ascii="Bookman Old Style" w:hAnsi="Bookman Old Style" w:cs="Arial"/>
          <w:sz w:val="24"/>
          <w:szCs w:val="24"/>
        </w:rPr>
        <w:t>Zagrebu</w:t>
      </w:r>
      <w:r w:rsidR="00280F71">
        <w:rPr>
          <w:rFonts w:ascii="Bookman Old Style" w:hAnsi="Bookman Old Style" w:cs="Arial"/>
          <w:sz w:val="24"/>
          <w:szCs w:val="24"/>
        </w:rPr>
        <w:t>.</w:t>
      </w:r>
    </w:p>
    <w:p w:rsidR="0025095B" w:rsidRDefault="0025095B" w:rsidP="0025095B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25095B" w:rsidRPr="0025095B" w:rsidRDefault="0025095B" w:rsidP="0025095B">
      <w:pPr>
        <w:spacing w:after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5095B">
        <w:rPr>
          <w:rFonts w:ascii="Bookman Old Style" w:hAnsi="Bookman Old Style"/>
          <w:color w:val="000000" w:themeColor="text1"/>
          <w:sz w:val="24"/>
          <w:szCs w:val="24"/>
        </w:rPr>
        <w:t xml:space="preserve">Za buduće razdoblje (procijenjeno vrijeme odljeva i priljeva novca je tijekom 2024. godine) ostaje isplata za još </w:t>
      </w:r>
      <w:r w:rsidR="00861BDA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Pr="0025095B">
        <w:rPr>
          <w:rFonts w:ascii="Bookman Old Style" w:hAnsi="Bookman Old Style"/>
          <w:color w:val="000000" w:themeColor="text1"/>
          <w:sz w:val="24"/>
          <w:szCs w:val="24"/>
        </w:rPr>
        <w:t xml:space="preserve"> zaposlenika, procjena financijskih sredstava je </w:t>
      </w:r>
      <w:r w:rsidR="00861BDA">
        <w:rPr>
          <w:rFonts w:ascii="Bookman Old Style" w:hAnsi="Bookman Old Style"/>
          <w:color w:val="000000" w:themeColor="text1"/>
          <w:sz w:val="24"/>
          <w:szCs w:val="24"/>
        </w:rPr>
        <w:t>8.300,00</w:t>
      </w:r>
      <w:r w:rsidRPr="0025095B">
        <w:rPr>
          <w:rFonts w:ascii="Bookman Old Style" w:hAnsi="Bookman Old Style"/>
          <w:color w:val="000000" w:themeColor="text1"/>
          <w:sz w:val="24"/>
          <w:szCs w:val="24"/>
        </w:rPr>
        <w:t xml:space="preserve"> eura.</w:t>
      </w:r>
    </w:p>
    <w:p w:rsidR="00E0603B" w:rsidRPr="0025095B" w:rsidRDefault="00E0603B" w:rsidP="0025095B">
      <w:pPr>
        <w:rPr>
          <w:rFonts w:ascii="Bookman Old Style" w:hAnsi="Bookman Old Style"/>
        </w:rPr>
      </w:pPr>
    </w:p>
    <w:p w:rsidR="004272FD" w:rsidRDefault="004272FD" w:rsidP="004272FD">
      <w:pPr>
        <w:pStyle w:val="Odlomakpopisa"/>
        <w:rPr>
          <w:rFonts w:ascii="Bookman Old Style" w:hAnsi="Bookman Old Style"/>
          <w:b/>
          <w:sz w:val="24"/>
          <w:szCs w:val="24"/>
          <w:u w:val="single"/>
        </w:rPr>
      </w:pPr>
    </w:p>
    <w:p w:rsidR="00DF1737" w:rsidRDefault="00DF1737" w:rsidP="001A17D5">
      <w:pPr>
        <w:rPr>
          <w:rFonts w:ascii="Bookman Old Style" w:hAnsi="Bookman Old Style"/>
          <w:sz w:val="24"/>
          <w:szCs w:val="24"/>
        </w:rPr>
      </w:pPr>
    </w:p>
    <w:p w:rsidR="00DF1737" w:rsidRDefault="00904F5D" w:rsidP="001A17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Predsjednica školskog odbora:               </w:t>
      </w:r>
      <w:r w:rsidR="00F92ED7">
        <w:rPr>
          <w:rFonts w:ascii="Bookman Old Style" w:hAnsi="Bookman Old Style"/>
          <w:sz w:val="24"/>
          <w:szCs w:val="24"/>
        </w:rPr>
        <w:t>M.P.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 w:rsidR="003D53D6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Ravnatelj:</w:t>
      </w:r>
    </w:p>
    <w:p w:rsidR="00904F5D" w:rsidRDefault="00861BDA" w:rsidP="001A17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Tajana Petrina</w:t>
      </w:r>
      <w:r w:rsidR="00904F5D">
        <w:rPr>
          <w:rFonts w:ascii="Bookman Old Style" w:hAnsi="Bookman Old Style"/>
          <w:sz w:val="24"/>
          <w:szCs w:val="24"/>
        </w:rPr>
        <w:tab/>
      </w:r>
      <w:r w:rsidR="00904F5D">
        <w:rPr>
          <w:rFonts w:ascii="Bookman Old Style" w:hAnsi="Bookman Old Style"/>
          <w:sz w:val="24"/>
          <w:szCs w:val="24"/>
        </w:rPr>
        <w:tab/>
      </w:r>
      <w:r w:rsidR="00904F5D">
        <w:rPr>
          <w:rFonts w:ascii="Bookman Old Style" w:hAnsi="Bookman Old Style"/>
          <w:sz w:val="24"/>
          <w:szCs w:val="24"/>
        </w:rPr>
        <w:tab/>
      </w:r>
      <w:r w:rsidR="00904F5D">
        <w:rPr>
          <w:rFonts w:ascii="Bookman Old Style" w:hAnsi="Bookman Old Style"/>
          <w:sz w:val="24"/>
          <w:szCs w:val="24"/>
        </w:rPr>
        <w:tab/>
      </w:r>
      <w:r w:rsidR="00904F5D">
        <w:rPr>
          <w:rFonts w:ascii="Bookman Old Style" w:hAnsi="Bookman Old Style"/>
          <w:sz w:val="24"/>
          <w:szCs w:val="24"/>
        </w:rPr>
        <w:tab/>
      </w:r>
      <w:r w:rsidR="00904F5D">
        <w:rPr>
          <w:rFonts w:ascii="Bookman Old Style" w:hAnsi="Bookman Old Style"/>
          <w:sz w:val="24"/>
          <w:szCs w:val="24"/>
        </w:rPr>
        <w:tab/>
      </w:r>
      <w:r w:rsidR="00904F5D"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sz w:val="24"/>
          <w:szCs w:val="24"/>
        </w:rPr>
        <w:t>Goran Lesjak</w:t>
      </w:r>
      <w:r w:rsidR="003D53D6">
        <w:rPr>
          <w:rFonts w:ascii="Bookman Old Style" w:hAnsi="Bookman Old Style"/>
          <w:sz w:val="24"/>
          <w:szCs w:val="24"/>
        </w:rPr>
        <w:t>, prof.</w:t>
      </w:r>
    </w:p>
    <w:p w:rsidR="00960476" w:rsidRPr="001A17D5" w:rsidRDefault="00960476" w:rsidP="001A17D5">
      <w:pPr>
        <w:rPr>
          <w:rFonts w:ascii="Bookman Old Style" w:hAnsi="Bookman Old Style"/>
          <w:sz w:val="24"/>
          <w:szCs w:val="24"/>
        </w:rPr>
      </w:pPr>
    </w:p>
    <w:sectPr w:rsidR="00960476" w:rsidRPr="001A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4FE"/>
    <w:multiLevelType w:val="hybridMultilevel"/>
    <w:tmpl w:val="804206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5E4"/>
    <w:multiLevelType w:val="hybridMultilevel"/>
    <w:tmpl w:val="E8A0F6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6FFA"/>
    <w:multiLevelType w:val="hybridMultilevel"/>
    <w:tmpl w:val="6782430C"/>
    <w:lvl w:ilvl="0" w:tplc="421238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61F"/>
    <w:multiLevelType w:val="hybridMultilevel"/>
    <w:tmpl w:val="DEDC63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3393"/>
    <w:multiLevelType w:val="hybridMultilevel"/>
    <w:tmpl w:val="7CF2CB4A"/>
    <w:lvl w:ilvl="0" w:tplc="821E5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19EF"/>
    <w:multiLevelType w:val="hybridMultilevel"/>
    <w:tmpl w:val="7E16702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9B8AC"/>
    <w:multiLevelType w:val="hybridMultilevel"/>
    <w:tmpl w:val="2EEF18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2445E6"/>
    <w:multiLevelType w:val="hybridMultilevel"/>
    <w:tmpl w:val="AA88A8F0"/>
    <w:lvl w:ilvl="0" w:tplc="041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088121C"/>
    <w:multiLevelType w:val="hybridMultilevel"/>
    <w:tmpl w:val="F74E16CA"/>
    <w:lvl w:ilvl="0" w:tplc="C16038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B2C24"/>
    <w:multiLevelType w:val="hybridMultilevel"/>
    <w:tmpl w:val="14462F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6A3C"/>
    <w:multiLevelType w:val="multilevel"/>
    <w:tmpl w:val="22B4DC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3DFE69B7"/>
    <w:multiLevelType w:val="hybridMultilevel"/>
    <w:tmpl w:val="C0A648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6BD0"/>
    <w:multiLevelType w:val="hybridMultilevel"/>
    <w:tmpl w:val="B0785738"/>
    <w:lvl w:ilvl="0" w:tplc="0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4E80ED4"/>
    <w:multiLevelType w:val="hybridMultilevel"/>
    <w:tmpl w:val="F50EBF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35D4"/>
    <w:multiLevelType w:val="hybridMultilevel"/>
    <w:tmpl w:val="A70270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56F6E"/>
    <w:multiLevelType w:val="hybridMultilevel"/>
    <w:tmpl w:val="429CC588"/>
    <w:lvl w:ilvl="0" w:tplc="FD729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3AFB"/>
    <w:multiLevelType w:val="hybridMultilevel"/>
    <w:tmpl w:val="B8D439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6CB0"/>
    <w:multiLevelType w:val="multilevel"/>
    <w:tmpl w:val="AEE051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2B52D9"/>
    <w:multiLevelType w:val="hybridMultilevel"/>
    <w:tmpl w:val="843C87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17"/>
  </w:num>
  <w:num w:numId="13">
    <w:abstractNumId w:val="12"/>
  </w:num>
  <w:num w:numId="14">
    <w:abstractNumId w:val="10"/>
  </w:num>
  <w:num w:numId="15">
    <w:abstractNumId w:val="19"/>
  </w:num>
  <w:num w:numId="16">
    <w:abstractNumId w:val="14"/>
  </w:num>
  <w:num w:numId="17">
    <w:abstractNumId w:val="9"/>
  </w:num>
  <w:num w:numId="18">
    <w:abstractNumId w:val="13"/>
  </w:num>
  <w:num w:numId="19">
    <w:abstractNumId w:val="6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D"/>
    <w:rsid w:val="00000230"/>
    <w:rsid w:val="000031E3"/>
    <w:rsid w:val="00005960"/>
    <w:rsid w:val="000073C1"/>
    <w:rsid w:val="000220DD"/>
    <w:rsid w:val="000222E2"/>
    <w:rsid w:val="0002537C"/>
    <w:rsid w:val="00026C8C"/>
    <w:rsid w:val="0003047C"/>
    <w:rsid w:val="00042C62"/>
    <w:rsid w:val="00051AD1"/>
    <w:rsid w:val="00054034"/>
    <w:rsid w:val="0006196C"/>
    <w:rsid w:val="000631E4"/>
    <w:rsid w:val="000648FC"/>
    <w:rsid w:val="0006563E"/>
    <w:rsid w:val="00067D23"/>
    <w:rsid w:val="000704EF"/>
    <w:rsid w:val="00071A72"/>
    <w:rsid w:val="0007233B"/>
    <w:rsid w:val="000831C1"/>
    <w:rsid w:val="00092D2B"/>
    <w:rsid w:val="000933F5"/>
    <w:rsid w:val="000960D3"/>
    <w:rsid w:val="000A270D"/>
    <w:rsid w:val="000A2A0D"/>
    <w:rsid w:val="000A7FBC"/>
    <w:rsid w:val="000B00FA"/>
    <w:rsid w:val="000B24B7"/>
    <w:rsid w:val="000B31DB"/>
    <w:rsid w:val="000B549C"/>
    <w:rsid w:val="000B65EC"/>
    <w:rsid w:val="000B685D"/>
    <w:rsid w:val="000B6BD0"/>
    <w:rsid w:val="000C1B72"/>
    <w:rsid w:val="000C1BAF"/>
    <w:rsid w:val="000C331D"/>
    <w:rsid w:val="000D2E44"/>
    <w:rsid w:val="000D4851"/>
    <w:rsid w:val="000E6DA8"/>
    <w:rsid w:val="00101271"/>
    <w:rsid w:val="00101A41"/>
    <w:rsid w:val="00103C32"/>
    <w:rsid w:val="00111C23"/>
    <w:rsid w:val="001140B5"/>
    <w:rsid w:val="001229B1"/>
    <w:rsid w:val="001243BB"/>
    <w:rsid w:val="0012480E"/>
    <w:rsid w:val="00126ACC"/>
    <w:rsid w:val="00132FD7"/>
    <w:rsid w:val="00143371"/>
    <w:rsid w:val="00145142"/>
    <w:rsid w:val="00145824"/>
    <w:rsid w:val="0015009A"/>
    <w:rsid w:val="00150A0E"/>
    <w:rsid w:val="00150BA7"/>
    <w:rsid w:val="001517CD"/>
    <w:rsid w:val="00151B78"/>
    <w:rsid w:val="001532CD"/>
    <w:rsid w:val="00154EE8"/>
    <w:rsid w:val="001565C9"/>
    <w:rsid w:val="00156793"/>
    <w:rsid w:val="0015730C"/>
    <w:rsid w:val="00161025"/>
    <w:rsid w:val="00162A4B"/>
    <w:rsid w:val="00182EF2"/>
    <w:rsid w:val="00195D96"/>
    <w:rsid w:val="0019692C"/>
    <w:rsid w:val="001A17D5"/>
    <w:rsid w:val="001A391D"/>
    <w:rsid w:val="001A4FF2"/>
    <w:rsid w:val="001B0155"/>
    <w:rsid w:val="001B12A6"/>
    <w:rsid w:val="001C0CC6"/>
    <w:rsid w:val="001C1921"/>
    <w:rsid w:val="001C4264"/>
    <w:rsid w:val="001C6DA7"/>
    <w:rsid w:val="001D3E46"/>
    <w:rsid w:val="001D43D3"/>
    <w:rsid w:val="001E6F64"/>
    <w:rsid w:val="001F58D9"/>
    <w:rsid w:val="00203A39"/>
    <w:rsid w:val="00204350"/>
    <w:rsid w:val="0020539F"/>
    <w:rsid w:val="00212539"/>
    <w:rsid w:val="002220DE"/>
    <w:rsid w:val="00226C1D"/>
    <w:rsid w:val="00235280"/>
    <w:rsid w:val="002368BF"/>
    <w:rsid w:val="00237B38"/>
    <w:rsid w:val="002400FB"/>
    <w:rsid w:val="0025095B"/>
    <w:rsid w:val="00252AAC"/>
    <w:rsid w:val="002643CF"/>
    <w:rsid w:val="00265BD7"/>
    <w:rsid w:val="002674AD"/>
    <w:rsid w:val="002707BB"/>
    <w:rsid w:val="00270B08"/>
    <w:rsid w:val="00275726"/>
    <w:rsid w:val="002773A9"/>
    <w:rsid w:val="00280F71"/>
    <w:rsid w:val="00282B36"/>
    <w:rsid w:val="00292FC3"/>
    <w:rsid w:val="002979EA"/>
    <w:rsid w:val="00297DF9"/>
    <w:rsid w:val="002A609E"/>
    <w:rsid w:val="002B5E8C"/>
    <w:rsid w:val="002C597E"/>
    <w:rsid w:val="002C6F2A"/>
    <w:rsid w:val="002D215A"/>
    <w:rsid w:val="002D6AF0"/>
    <w:rsid w:val="002D7396"/>
    <w:rsid w:val="002D77F9"/>
    <w:rsid w:val="002E1753"/>
    <w:rsid w:val="002F1B79"/>
    <w:rsid w:val="002F22CE"/>
    <w:rsid w:val="002F262B"/>
    <w:rsid w:val="002F2928"/>
    <w:rsid w:val="002F376C"/>
    <w:rsid w:val="002F4B9C"/>
    <w:rsid w:val="00306865"/>
    <w:rsid w:val="003126E2"/>
    <w:rsid w:val="00313127"/>
    <w:rsid w:val="00313752"/>
    <w:rsid w:val="003153BD"/>
    <w:rsid w:val="003303A9"/>
    <w:rsid w:val="0033080A"/>
    <w:rsid w:val="00330C2F"/>
    <w:rsid w:val="00333065"/>
    <w:rsid w:val="0033686B"/>
    <w:rsid w:val="003446BF"/>
    <w:rsid w:val="003465E9"/>
    <w:rsid w:val="0034771B"/>
    <w:rsid w:val="00347942"/>
    <w:rsid w:val="00360407"/>
    <w:rsid w:val="0036726A"/>
    <w:rsid w:val="00376A98"/>
    <w:rsid w:val="0038509C"/>
    <w:rsid w:val="003850D3"/>
    <w:rsid w:val="003868D9"/>
    <w:rsid w:val="003A2231"/>
    <w:rsid w:val="003A422A"/>
    <w:rsid w:val="003A4E7D"/>
    <w:rsid w:val="003B3095"/>
    <w:rsid w:val="003B60CE"/>
    <w:rsid w:val="003C3BA3"/>
    <w:rsid w:val="003C3FBF"/>
    <w:rsid w:val="003C6A5B"/>
    <w:rsid w:val="003D156A"/>
    <w:rsid w:val="003D2F9D"/>
    <w:rsid w:val="003D3BC8"/>
    <w:rsid w:val="003D48C4"/>
    <w:rsid w:val="003D53D6"/>
    <w:rsid w:val="003E47C0"/>
    <w:rsid w:val="003F1230"/>
    <w:rsid w:val="003F2CC3"/>
    <w:rsid w:val="0040245F"/>
    <w:rsid w:val="004048CA"/>
    <w:rsid w:val="00412CEA"/>
    <w:rsid w:val="004130A8"/>
    <w:rsid w:val="00415C25"/>
    <w:rsid w:val="00421E92"/>
    <w:rsid w:val="00422799"/>
    <w:rsid w:val="004272FD"/>
    <w:rsid w:val="004334DF"/>
    <w:rsid w:val="004403D6"/>
    <w:rsid w:val="00446AED"/>
    <w:rsid w:val="0044732B"/>
    <w:rsid w:val="00452727"/>
    <w:rsid w:val="004555EC"/>
    <w:rsid w:val="00460740"/>
    <w:rsid w:val="00462F11"/>
    <w:rsid w:val="0046644F"/>
    <w:rsid w:val="004665BC"/>
    <w:rsid w:val="00471813"/>
    <w:rsid w:val="004833E6"/>
    <w:rsid w:val="00490345"/>
    <w:rsid w:val="0049549C"/>
    <w:rsid w:val="00495E81"/>
    <w:rsid w:val="00497B4D"/>
    <w:rsid w:val="004A68D2"/>
    <w:rsid w:val="004B23EA"/>
    <w:rsid w:val="004B6F34"/>
    <w:rsid w:val="004B7B5A"/>
    <w:rsid w:val="004B7C3A"/>
    <w:rsid w:val="004C20E3"/>
    <w:rsid w:val="004F0A45"/>
    <w:rsid w:val="004F1A23"/>
    <w:rsid w:val="004F2F2A"/>
    <w:rsid w:val="00514F2B"/>
    <w:rsid w:val="0051552D"/>
    <w:rsid w:val="0051565A"/>
    <w:rsid w:val="00515A71"/>
    <w:rsid w:val="00521B42"/>
    <w:rsid w:val="00521E50"/>
    <w:rsid w:val="00523A64"/>
    <w:rsid w:val="005247B5"/>
    <w:rsid w:val="005248C1"/>
    <w:rsid w:val="00525D0B"/>
    <w:rsid w:val="005325BE"/>
    <w:rsid w:val="005341A3"/>
    <w:rsid w:val="0054001B"/>
    <w:rsid w:val="0055583A"/>
    <w:rsid w:val="0056060B"/>
    <w:rsid w:val="005822CB"/>
    <w:rsid w:val="005831F8"/>
    <w:rsid w:val="00583762"/>
    <w:rsid w:val="00590005"/>
    <w:rsid w:val="005A45BC"/>
    <w:rsid w:val="005A460F"/>
    <w:rsid w:val="005A5818"/>
    <w:rsid w:val="005A5DA1"/>
    <w:rsid w:val="005A7C0E"/>
    <w:rsid w:val="005B5BA9"/>
    <w:rsid w:val="005C4D18"/>
    <w:rsid w:val="005C67EE"/>
    <w:rsid w:val="005C7B0A"/>
    <w:rsid w:val="005D130B"/>
    <w:rsid w:val="005D256A"/>
    <w:rsid w:val="005D67FD"/>
    <w:rsid w:val="005E14C6"/>
    <w:rsid w:val="005E1653"/>
    <w:rsid w:val="005E36F1"/>
    <w:rsid w:val="005E3C6A"/>
    <w:rsid w:val="005E7F5C"/>
    <w:rsid w:val="005F1747"/>
    <w:rsid w:val="005F3C75"/>
    <w:rsid w:val="00602907"/>
    <w:rsid w:val="00614CFE"/>
    <w:rsid w:val="006155D2"/>
    <w:rsid w:val="006253CA"/>
    <w:rsid w:val="006262F4"/>
    <w:rsid w:val="00630904"/>
    <w:rsid w:val="00647F5D"/>
    <w:rsid w:val="006561EB"/>
    <w:rsid w:val="006563C7"/>
    <w:rsid w:val="006601F4"/>
    <w:rsid w:val="006628FB"/>
    <w:rsid w:val="0066374F"/>
    <w:rsid w:val="00677FBE"/>
    <w:rsid w:val="00680710"/>
    <w:rsid w:val="00680BF2"/>
    <w:rsid w:val="006825F4"/>
    <w:rsid w:val="006834F7"/>
    <w:rsid w:val="00683E55"/>
    <w:rsid w:val="006861DE"/>
    <w:rsid w:val="00690D67"/>
    <w:rsid w:val="0069120E"/>
    <w:rsid w:val="006921FE"/>
    <w:rsid w:val="00694E42"/>
    <w:rsid w:val="0069627A"/>
    <w:rsid w:val="00696815"/>
    <w:rsid w:val="006A021B"/>
    <w:rsid w:val="006A161F"/>
    <w:rsid w:val="006A18F3"/>
    <w:rsid w:val="006A21BF"/>
    <w:rsid w:val="006B24D9"/>
    <w:rsid w:val="006B2673"/>
    <w:rsid w:val="006B6D59"/>
    <w:rsid w:val="006C14BB"/>
    <w:rsid w:val="006D70C4"/>
    <w:rsid w:val="006D72D3"/>
    <w:rsid w:val="006E03A5"/>
    <w:rsid w:val="006E4FFF"/>
    <w:rsid w:val="006E51F1"/>
    <w:rsid w:val="006E74D1"/>
    <w:rsid w:val="006F09BD"/>
    <w:rsid w:val="006F1355"/>
    <w:rsid w:val="006F64BE"/>
    <w:rsid w:val="006F79A4"/>
    <w:rsid w:val="00704649"/>
    <w:rsid w:val="00720C15"/>
    <w:rsid w:val="00721660"/>
    <w:rsid w:val="00723049"/>
    <w:rsid w:val="00724426"/>
    <w:rsid w:val="00725B74"/>
    <w:rsid w:val="007466C6"/>
    <w:rsid w:val="00752F09"/>
    <w:rsid w:val="00755DD7"/>
    <w:rsid w:val="0075679E"/>
    <w:rsid w:val="00756FAB"/>
    <w:rsid w:val="00764918"/>
    <w:rsid w:val="0077140D"/>
    <w:rsid w:val="00775870"/>
    <w:rsid w:val="007766D6"/>
    <w:rsid w:val="00793000"/>
    <w:rsid w:val="00794227"/>
    <w:rsid w:val="007965EF"/>
    <w:rsid w:val="00796B5B"/>
    <w:rsid w:val="00796CC8"/>
    <w:rsid w:val="007A64BC"/>
    <w:rsid w:val="007A6D8C"/>
    <w:rsid w:val="007A6FCB"/>
    <w:rsid w:val="007B6B02"/>
    <w:rsid w:val="007B6D1F"/>
    <w:rsid w:val="007D1F5C"/>
    <w:rsid w:val="007D4B0C"/>
    <w:rsid w:val="007E0EC4"/>
    <w:rsid w:val="007E772A"/>
    <w:rsid w:val="007F04E5"/>
    <w:rsid w:val="007F0C47"/>
    <w:rsid w:val="007F3AFA"/>
    <w:rsid w:val="00801C2D"/>
    <w:rsid w:val="00801EF7"/>
    <w:rsid w:val="00803922"/>
    <w:rsid w:val="00810394"/>
    <w:rsid w:val="008128DB"/>
    <w:rsid w:val="008137EF"/>
    <w:rsid w:val="00814994"/>
    <w:rsid w:val="00816C2D"/>
    <w:rsid w:val="008246B3"/>
    <w:rsid w:val="00831A6E"/>
    <w:rsid w:val="00832DA2"/>
    <w:rsid w:val="008405C6"/>
    <w:rsid w:val="008439BC"/>
    <w:rsid w:val="0084664E"/>
    <w:rsid w:val="00857018"/>
    <w:rsid w:val="00861BDA"/>
    <w:rsid w:val="00864276"/>
    <w:rsid w:val="00866C93"/>
    <w:rsid w:val="00875482"/>
    <w:rsid w:val="00876A2D"/>
    <w:rsid w:val="0088351C"/>
    <w:rsid w:val="0088522B"/>
    <w:rsid w:val="008915E0"/>
    <w:rsid w:val="00893E55"/>
    <w:rsid w:val="0089425C"/>
    <w:rsid w:val="00894966"/>
    <w:rsid w:val="008A2351"/>
    <w:rsid w:val="008A48D9"/>
    <w:rsid w:val="008C37E7"/>
    <w:rsid w:val="008E5BD6"/>
    <w:rsid w:val="008F0DE9"/>
    <w:rsid w:val="008F48A2"/>
    <w:rsid w:val="00904F5D"/>
    <w:rsid w:val="00905252"/>
    <w:rsid w:val="0091057F"/>
    <w:rsid w:val="00911539"/>
    <w:rsid w:val="00923B91"/>
    <w:rsid w:val="00924F4D"/>
    <w:rsid w:val="0093094D"/>
    <w:rsid w:val="00933AC2"/>
    <w:rsid w:val="0093441D"/>
    <w:rsid w:val="0093442D"/>
    <w:rsid w:val="0093773F"/>
    <w:rsid w:val="0094214D"/>
    <w:rsid w:val="00944190"/>
    <w:rsid w:val="00944FE5"/>
    <w:rsid w:val="00950A7A"/>
    <w:rsid w:val="00951665"/>
    <w:rsid w:val="00960476"/>
    <w:rsid w:val="00965D6C"/>
    <w:rsid w:val="00965E5C"/>
    <w:rsid w:val="00975632"/>
    <w:rsid w:val="00975E07"/>
    <w:rsid w:val="0098310C"/>
    <w:rsid w:val="009942AC"/>
    <w:rsid w:val="0099480B"/>
    <w:rsid w:val="009964D6"/>
    <w:rsid w:val="00996617"/>
    <w:rsid w:val="009B2439"/>
    <w:rsid w:val="009B2CF7"/>
    <w:rsid w:val="009B33EF"/>
    <w:rsid w:val="009B59E2"/>
    <w:rsid w:val="009C16BA"/>
    <w:rsid w:val="009C17ED"/>
    <w:rsid w:val="009C3E7B"/>
    <w:rsid w:val="009C498F"/>
    <w:rsid w:val="009D17FC"/>
    <w:rsid w:val="009D44C4"/>
    <w:rsid w:val="009E17A9"/>
    <w:rsid w:val="009E2A0F"/>
    <w:rsid w:val="009E41CC"/>
    <w:rsid w:val="009E444B"/>
    <w:rsid w:val="009E4531"/>
    <w:rsid w:val="009E580B"/>
    <w:rsid w:val="009F3F85"/>
    <w:rsid w:val="00A0352B"/>
    <w:rsid w:val="00A03B4A"/>
    <w:rsid w:val="00A0505F"/>
    <w:rsid w:val="00A11B32"/>
    <w:rsid w:val="00A12091"/>
    <w:rsid w:val="00A12A3A"/>
    <w:rsid w:val="00A156F9"/>
    <w:rsid w:val="00A157EA"/>
    <w:rsid w:val="00A30428"/>
    <w:rsid w:val="00A32F05"/>
    <w:rsid w:val="00A41719"/>
    <w:rsid w:val="00A4613B"/>
    <w:rsid w:val="00A47CB9"/>
    <w:rsid w:val="00A56773"/>
    <w:rsid w:val="00A608F6"/>
    <w:rsid w:val="00A61D77"/>
    <w:rsid w:val="00A62496"/>
    <w:rsid w:val="00A633FB"/>
    <w:rsid w:val="00A70CD2"/>
    <w:rsid w:val="00A74857"/>
    <w:rsid w:val="00A76E1B"/>
    <w:rsid w:val="00A86EA1"/>
    <w:rsid w:val="00A87B85"/>
    <w:rsid w:val="00A95D18"/>
    <w:rsid w:val="00A97D39"/>
    <w:rsid w:val="00AA18D3"/>
    <w:rsid w:val="00AA18E6"/>
    <w:rsid w:val="00AB4F18"/>
    <w:rsid w:val="00AC326C"/>
    <w:rsid w:val="00AC5051"/>
    <w:rsid w:val="00AD22BC"/>
    <w:rsid w:val="00AD4A3D"/>
    <w:rsid w:val="00AE0698"/>
    <w:rsid w:val="00AE3E8F"/>
    <w:rsid w:val="00AE64F7"/>
    <w:rsid w:val="00AE7234"/>
    <w:rsid w:val="00AF0C48"/>
    <w:rsid w:val="00AF21CD"/>
    <w:rsid w:val="00AF2E18"/>
    <w:rsid w:val="00AF4716"/>
    <w:rsid w:val="00AF6A7C"/>
    <w:rsid w:val="00B021F3"/>
    <w:rsid w:val="00B02822"/>
    <w:rsid w:val="00B03570"/>
    <w:rsid w:val="00B054DD"/>
    <w:rsid w:val="00B05DAF"/>
    <w:rsid w:val="00B201F5"/>
    <w:rsid w:val="00B21E1D"/>
    <w:rsid w:val="00B25E1E"/>
    <w:rsid w:val="00B47797"/>
    <w:rsid w:val="00B52ECB"/>
    <w:rsid w:val="00B61034"/>
    <w:rsid w:val="00B62003"/>
    <w:rsid w:val="00B66BBF"/>
    <w:rsid w:val="00B67684"/>
    <w:rsid w:val="00B708A4"/>
    <w:rsid w:val="00B73B8A"/>
    <w:rsid w:val="00B75F9A"/>
    <w:rsid w:val="00B80645"/>
    <w:rsid w:val="00B80826"/>
    <w:rsid w:val="00B9466C"/>
    <w:rsid w:val="00B9709D"/>
    <w:rsid w:val="00BA02DA"/>
    <w:rsid w:val="00BB1C35"/>
    <w:rsid w:val="00BB67F1"/>
    <w:rsid w:val="00BC341C"/>
    <w:rsid w:val="00BC368A"/>
    <w:rsid w:val="00BD39D4"/>
    <w:rsid w:val="00BE0BA4"/>
    <w:rsid w:val="00BE1229"/>
    <w:rsid w:val="00BE23FA"/>
    <w:rsid w:val="00BF7624"/>
    <w:rsid w:val="00C04151"/>
    <w:rsid w:val="00C05FB7"/>
    <w:rsid w:val="00C140C2"/>
    <w:rsid w:val="00C2786B"/>
    <w:rsid w:val="00C3164F"/>
    <w:rsid w:val="00C42E10"/>
    <w:rsid w:val="00C436E3"/>
    <w:rsid w:val="00C44AB3"/>
    <w:rsid w:val="00C463A7"/>
    <w:rsid w:val="00C52D17"/>
    <w:rsid w:val="00C53194"/>
    <w:rsid w:val="00C6089F"/>
    <w:rsid w:val="00C67303"/>
    <w:rsid w:val="00C73F7D"/>
    <w:rsid w:val="00C76DF6"/>
    <w:rsid w:val="00C810A3"/>
    <w:rsid w:val="00C832F3"/>
    <w:rsid w:val="00C856C1"/>
    <w:rsid w:val="00CA0F27"/>
    <w:rsid w:val="00CA420E"/>
    <w:rsid w:val="00CA4926"/>
    <w:rsid w:val="00CA5DDF"/>
    <w:rsid w:val="00CB181F"/>
    <w:rsid w:val="00CB1AE0"/>
    <w:rsid w:val="00CB2FE8"/>
    <w:rsid w:val="00CC208F"/>
    <w:rsid w:val="00CC7A94"/>
    <w:rsid w:val="00CD73EE"/>
    <w:rsid w:val="00CE303D"/>
    <w:rsid w:val="00CE5361"/>
    <w:rsid w:val="00CF1BE7"/>
    <w:rsid w:val="00D06C20"/>
    <w:rsid w:val="00D06FFD"/>
    <w:rsid w:val="00D14E75"/>
    <w:rsid w:val="00D21AAA"/>
    <w:rsid w:val="00D278FA"/>
    <w:rsid w:val="00D31FF0"/>
    <w:rsid w:val="00D34F9C"/>
    <w:rsid w:val="00D4184E"/>
    <w:rsid w:val="00D44DB9"/>
    <w:rsid w:val="00D4733D"/>
    <w:rsid w:val="00D579FC"/>
    <w:rsid w:val="00D611C2"/>
    <w:rsid w:val="00D650CD"/>
    <w:rsid w:val="00D72ABC"/>
    <w:rsid w:val="00D77D4F"/>
    <w:rsid w:val="00D801F4"/>
    <w:rsid w:val="00D8758C"/>
    <w:rsid w:val="00D91D48"/>
    <w:rsid w:val="00DA2B94"/>
    <w:rsid w:val="00DA5416"/>
    <w:rsid w:val="00DB3031"/>
    <w:rsid w:val="00DB6266"/>
    <w:rsid w:val="00DC2E63"/>
    <w:rsid w:val="00DD0702"/>
    <w:rsid w:val="00DD3430"/>
    <w:rsid w:val="00DD55D8"/>
    <w:rsid w:val="00DD68C2"/>
    <w:rsid w:val="00DD7A48"/>
    <w:rsid w:val="00DF0200"/>
    <w:rsid w:val="00DF1737"/>
    <w:rsid w:val="00DF2D77"/>
    <w:rsid w:val="00DF3B2B"/>
    <w:rsid w:val="00E0603B"/>
    <w:rsid w:val="00E06DEC"/>
    <w:rsid w:val="00E22A33"/>
    <w:rsid w:val="00E24274"/>
    <w:rsid w:val="00E273C2"/>
    <w:rsid w:val="00E34440"/>
    <w:rsid w:val="00E41B32"/>
    <w:rsid w:val="00E43C62"/>
    <w:rsid w:val="00E44275"/>
    <w:rsid w:val="00E44BA2"/>
    <w:rsid w:val="00E54464"/>
    <w:rsid w:val="00E5630D"/>
    <w:rsid w:val="00E609DE"/>
    <w:rsid w:val="00E67DF9"/>
    <w:rsid w:val="00E864A7"/>
    <w:rsid w:val="00E9559D"/>
    <w:rsid w:val="00E95789"/>
    <w:rsid w:val="00EA6CB8"/>
    <w:rsid w:val="00EB5647"/>
    <w:rsid w:val="00EB7D65"/>
    <w:rsid w:val="00ED212F"/>
    <w:rsid w:val="00ED44F5"/>
    <w:rsid w:val="00EE68E0"/>
    <w:rsid w:val="00EF0D9C"/>
    <w:rsid w:val="00F0568B"/>
    <w:rsid w:val="00F14F59"/>
    <w:rsid w:val="00F2023D"/>
    <w:rsid w:val="00F4533D"/>
    <w:rsid w:val="00F5444D"/>
    <w:rsid w:val="00F55F25"/>
    <w:rsid w:val="00F572A3"/>
    <w:rsid w:val="00F572C2"/>
    <w:rsid w:val="00F62607"/>
    <w:rsid w:val="00F62C52"/>
    <w:rsid w:val="00F635AE"/>
    <w:rsid w:val="00F755DA"/>
    <w:rsid w:val="00F7594B"/>
    <w:rsid w:val="00F84848"/>
    <w:rsid w:val="00F8739C"/>
    <w:rsid w:val="00F9114E"/>
    <w:rsid w:val="00F92ED7"/>
    <w:rsid w:val="00F966FF"/>
    <w:rsid w:val="00F96FC7"/>
    <w:rsid w:val="00FA52FC"/>
    <w:rsid w:val="00FA5A7A"/>
    <w:rsid w:val="00FB3A0E"/>
    <w:rsid w:val="00FB3D23"/>
    <w:rsid w:val="00FB5559"/>
    <w:rsid w:val="00FB76A0"/>
    <w:rsid w:val="00FC0762"/>
    <w:rsid w:val="00FC4AA9"/>
    <w:rsid w:val="00FC6929"/>
    <w:rsid w:val="00FC6E18"/>
    <w:rsid w:val="00FD357D"/>
    <w:rsid w:val="00FD6A95"/>
    <w:rsid w:val="00FE1991"/>
    <w:rsid w:val="00FE7621"/>
    <w:rsid w:val="00FF0212"/>
    <w:rsid w:val="00FF20E2"/>
    <w:rsid w:val="00FF2A99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151A"/>
  <w15:chartTrackingRefBased/>
  <w15:docId w15:val="{6D562610-9493-4E69-94E6-49EE82A7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1D"/>
    <w:pPr>
      <w:spacing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E1D"/>
    <w:pPr>
      <w:ind w:left="720"/>
      <w:contextualSpacing/>
    </w:pPr>
  </w:style>
  <w:style w:type="paragraph" w:customStyle="1" w:styleId="Default">
    <w:name w:val="Default"/>
    <w:rsid w:val="001C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E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C83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5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665"/>
    <w:rPr>
      <w:rFonts w:ascii="Segoe UI" w:eastAsiaTheme="minorEastAsia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7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A0F27"/>
    <w:pPr>
      <w:spacing w:after="0" w:line="240" w:lineRule="auto"/>
    </w:pPr>
    <w:rPr>
      <w:rFonts w:eastAsiaTheme="minorEastAsia"/>
      <w:sz w:val="21"/>
      <w:szCs w:val="21"/>
    </w:rPr>
  </w:style>
  <w:style w:type="table" w:styleId="Svijetlatablicareetke-isticanje1">
    <w:name w:val="Grid Table 1 Light Accent 1"/>
    <w:basedOn w:val="Obinatablica"/>
    <w:uiPriority w:val="46"/>
    <w:rsid w:val="00E0603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F8AC-F97B-4081-ADDB-453CEA6B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Dubić</dc:creator>
  <cp:keywords/>
  <dc:description/>
  <cp:lastModifiedBy>Windows korisnik</cp:lastModifiedBy>
  <cp:revision>6</cp:revision>
  <cp:lastPrinted>2024-03-19T08:18:00Z</cp:lastPrinted>
  <dcterms:created xsi:type="dcterms:W3CDTF">2024-04-10T05:34:00Z</dcterms:created>
  <dcterms:modified xsi:type="dcterms:W3CDTF">2024-04-10T06:57:00Z</dcterms:modified>
</cp:coreProperties>
</file>